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228C" w:rsidP="15908D65" w:rsidRDefault="00A7228C" w14:paraId="24E61FF3" w14:textId="6B4D88E6">
      <w:pPr>
        <w:spacing w:after="0"/>
        <w:jc w:val="center"/>
      </w:pPr>
      <w:r w:rsidRPr="15908D65" w:rsidR="00A7228C">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A7228C" w:rsidTr="3B281FC9" w14:paraId="4578F6EE" w14:textId="77777777">
        <w:tc>
          <w:tcPr>
            <w:tcW w:w="8828" w:type="dxa"/>
            <w:gridSpan w:val="2"/>
            <w:shd w:val="clear" w:color="auto" w:fill="006CB7"/>
            <w:tcMar/>
          </w:tcPr>
          <w:p w:rsidR="00A7228C" w:rsidP="00942C7D" w:rsidRDefault="00A7228C" w14:paraId="2B6464BA" w14:textId="2CEF38B8">
            <w:r w:rsidRPr="3B281FC9" w:rsidR="00A7228C">
              <w:rPr>
                <w:b w:val="1"/>
                <w:bCs w:val="1"/>
                <w:color w:val="FFFFFF" w:themeColor="background1" w:themeTint="FF" w:themeShade="FF"/>
              </w:rPr>
              <w:t xml:space="preserve">ANTECEDENTES </w:t>
            </w:r>
            <w:r w:rsidRPr="3B281FC9" w:rsidR="03AEE0BA">
              <w:rPr>
                <w:b w:val="1"/>
                <w:bCs w:val="1"/>
                <w:color w:val="FFFFFF" w:themeColor="background1" w:themeTint="FF" w:themeShade="FF"/>
              </w:rPr>
              <w:t>GENERALES</w:t>
            </w:r>
          </w:p>
        </w:tc>
      </w:tr>
      <w:tr w:rsidR="00A7228C" w:rsidTr="3B281FC9" w14:paraId="4033D61A" w14:textId="77777777">
        <w:tc>
          <w:tcPr>
            <w:tcW w:w="3681" w:type="dxa"/>
            <w:shd w:val="clear" w:color="auto" w:fill="D3DDEB"/>
            <w:tcMar/>
          </w:tcPr>
          <w:p w:rsidRPr="00FF1EEF" w:rsidR="00A7228C" w:rsidP="006D3C43" w:rsidRDefault="00A7228C" w14:paraId="4FD25D71" w14:textId="77777777">
            <w:pPr>
              <w:rPr>
                <w:b/>
              </w:rPr>
            </w:pPr>
            <w:r>
              <w:rPr>
                <w:b/>
              </w:rPr>
              <w:t>Comuna</w:t>
            </w:r>
          </w:p>
        </w:tc>
        <w:tc>
          <w:tcPr>
            <w:tcW w:w="5147" w:type="dxa"/>
            <w:tcMar/>
          </w:tcPr>
          <w:p w:rsidR="00A7228C" w:rsidP="00942C7D" w:rsidRDefault="00B35565" w14:paraId="54579D21" w14:textId="05F356B9">
            <w:r>
              <w:rPr>
                <w:noProof/>
              </w:rPr>
              <w:t>Villa Alemana</w:t>
            </w:r>
          </w:p>
        </w:tc>
      </w:tr>
      <w:tr w:rsidR="00A7228C" w:rsidTr="3B281FC9" w14:paraId="28435731" w14:textId="77777777">
        <w:tc>
          <w:tcPr>
            <w:tcW w:w="3681" w:type="dxa"/>
            <w:shd w:val="clear" w:color="auto" w:fill="D3DDEB"/>
            <w:tcMar/>
          </w:tcPr>
          <w:p w:rsidRPr="00FF1EEF" w:rsidR="00A7228C" w:rsidP="00942C7D" w:rsidRDefault="00A7228C" w14:paraId="1FA9787E" w14:textId="77777777">
            <w:pPr>
              <w:rPr>
                <w:b/>
              </w:rPr>
            </w:pPr>
            <w:r>
              <w:rPr>
                <w:b/>
              </w:rPr>
              <w:t>Región</w:t>
            </w:r>
          </w:p>
        </w:tc>
        <w:tc>
          <w:tcPr>
            <w:tcW w:w="5147" w:type="dxa"/>
            <w:tcMar/>
          </w:tcPr>
          <w:p w:rsidR="00A7228C" w:rsidP="00942C7D" w:rsidRDefault="00A7228C" w14:paraId="43803378" w14:textId="6352B878">
            <w:r>
              <w:rPr>
                <w:noProof/>
              </w:rPr>
              <w:t>Región de Valparaíso</w:t>
            </w:r>
          </w:p>
        </w:tc>
      </w:tr>
      <w:tr w:rsidR="00A7228C" w:rsidTr="3B281FC9" w14:paraId="3C53D393" w14:textId="77777777">
        <w:tc>
          <w:tcPr>
            <w:tcW w:w="3681" w:type="dxa"/>
            <w:shd w:val="clear" w:color="auto" w:fill="D3DDEB"/>
            <w:tcMar/>
          </w:tcPr>
          <w:p w:rsidRPr="00FF1EEF" w:rsidR="00A7228C" w:rsidP="007562C1" w:rsidRDefault="00A7228C" w14:paraId="3A74A90D" w14:textId="77777777">
            <w:pPr>
              <w:rPr>
                <w:b/>
              </w:rPr>
            </w:pPr>
            <w:r>
              <w:rPr>
                <w:b/>
              </w:rPr>
              <w:t>Dependencia</w:t>
            </w:r>
          </w:p>
        </w:tc>
        <w:tc>
          <w:tcPr>
            <w:tcW w:w="5147" w:type="dxa"/>
            <w:tcMar/>
          </w:tcPr>
          <w:p w:rsidR="00A7228C" w:rsidP="00942C7D" w:rsidRDefault="00A7228C" w14:paraId="28861EAE" w14:textId="777BB572">
            <w:r>
              <w:rPr>
                <w:noProof/>
              </w:rPr>
              <w:t>Particular Subvencionado</w:t>
            </w:r>
          </w:p>
        </w:tc>
      </w:tr>
    </w:tbl>
    <w:p w:rsidR="00A7228C" w:rsidP="007A3038" w:rsidRDefault="00A7228C" w14:paraId="76E88A7C" w14:textId="77777777">
      <w:pPr>
        <w:spacing w:after="0"/>
      </w:pPr>
    </w:p>
    <w:tbl>
      <w:tblPr>
        <w:tblStyle w:val="Tablaconcuadrcula"/>
        <w:tblW w:w="0" w:type="auto"/>
        <w:tblLook w:val="04A0" w:firstRow="1" w:lastRow="0" w:firstColumn="1" w:lastColumn="0" w:noHBand="0" w:noVBand="1"/>
      </w:tblPr>
      <w:tblGrid>
        <w:gridCol w:w="3681"/>
        <w:gridCol w:w="5147"/>
      </w:tblGrid>
      <w:tr w:rsidR="00A7228C" w:rsidTr="15908D65" w14:paraId="277FB446" w14:textId="77777777">
        <w:tc>
          <w:tcPr>
            <w:tcW w:w="8828" w:type="dxa"/>
            <w:gridSpan w:val="2"/>
            <w:shd w:val="clear" w:color="auto" w:fill="006CB7"/>
            <w:tcMar/>
          </w:tcPr>
          <w:p w:rsidR="00A7228C" w:rsidP="00942C7D" w:rsidRDefault="00A7228C" w14:paraId="5215C051" w14:textId="77777777">
            <w:r w:rsidRPr="007A3038">
              <w:rPr>
                <w:b/>
                <w:color w:val="FFFFFF" w:themeColor="background1"/>
              </w:rPr>
              <w:t>INFORMACIÓN DEL CLIP</w:t>
            </w:r>
          </w:p>
        </w:tc>
      </w:tr>
      <w:tr w:rsidR="00A7228C" w:rsidTr="15908D65" w14:paraId="2566ED77" w14:textId="77777777">
        <w:tc>
          <w:tcPr>
            <w:tcW w:w="3681" w:type="dxa"/>
            <w:shd w:val="clear" w:color="auto" w:fill="D3DDEB"/>
            <w:tcMar/>
          </w:tcPr>
          <w:p w:rsidRPr="00FF1EEF" w:rsidR="00A7228C" w:rsidP="00942C7D" w:rsidRDefault="00A7228C" w14:paraId="53DF3AEF" w14:textId="77777777">
            <w:pPr>
              <w:rPr>
                <w:b/>
              </w:rPr>
            </w:pPr>
            <w:r>
              <w:rPr>
                <w:b/>
              </w:rPr>
              <w:t>Asignatura</w:t>
            </w:r>
          </w:p>
        </w:tc>
        <w:tc>
          <w:tcPr>
            <w:tcW w:w="5147" w:type="dxa"/>
            <w:tcMar/>
          </w:tcPr>
          <w:p w:rsidR="00A7228C" w:rsidP="00942C7D" w:rsidRDefault="00A7228C" w14:paraId="35E4CBB0" w14:textId="5FECDF28">
            <w:r>
              <w:rPr>
                <w:noProof/>
              </w:rPr>
              <w:t>Ciencias para la Ciudadanía</w:t>
            </w:r>
          </w:p>
        </w:tc>
      </w:tr>
      <w:tr w:rsidR="00A7228C" w:rsidTr="15908D65" w14:paraId="3DC70C81" w14:textId="77777777">
        <w:tc>
          <w:tcPr>
            <w:tcW w:w="3681" w:type="dxa"/>
            <w:shd w:val="clear" w:color="auto" w:fill="D3DDEB"/>
            <w:tcMar/>
          </w:tcPr>
          <w:p w:rsidRPr="00FF1EEF" w:rsidR="00A7228C" w:rsidP="00942C7D" w:rsidRDefault="00A7228C" w14:paraId="5304312F" w14:textId="77777777">
            <w:pPr>
              <w:rPr>
                <w:b/>
              </w:rPr>
            </w:pPr>
            <w:r>
              <w:rPr>
                <w:b/>
              </w:rPr>
              <w:t>Tipo de material</w:t>
            </w:r>
          </w:p>
        </w:tc>
        <w:tc>
          <w:tcPr>
            <w:tcW w:w="5147" w:type="dxa"/>
            <w:tcMar/>
          </w:tcPr>
          <w:p w:rsidR="00A7228C" w:rsidP="00942C7D" w:rsidRDefault="00A7228C" w14:paraId="62DFC64B" w14:textId="1D39EE68">
            <w:r>
              <w:t>Clip de clase grabada</w:t>
            </w:r>
          </w:p>
        </w:tc>
      </w:tr>
      <w:tr w:rsidR="00A7228C" w:rsidTr="15908D65" w14:paraId="06AE891C" w14:textId="77777777">
        <w:tc>
          <w:tcPr>
            <w:tcW w:w="3681" w:type="dxa"/>
            <w:shd w:val="clear" w:color="auto" w:fill="D3DDEB"/>
            <w:tcMar/>
          </w:tcPr>
          <w:p w:rsidRPr="00FF1EEF" w:rsidR="00A7228C" w:rsidP="00942C7D" w:rsidRDefault="00A7228C" w14:paraId="183781DD" w14:textId="77777777">
            <w:pPr>
              <w:rPr>
                <w:b/>
              </w:rPr>
            </w:pPr>
            <w:r>
              <w:rPr>
                <w:b/>
              </w:rPr>
              <w:t>Práctica(s) pedagógica(s) asociada(s)</w:t>
            </w:r>
          </w:p>
        </w:tc>
        <w:tc>
          <w:tcPr>
            <w:tcW w:w="5147" w:type="dxa"/>
            <w:tcMar/>
          </w:tcPr>
          <w:p w:rsidR="00A7228C" w:rsidP="00B35565" w:rsidRDefault="00A7228C" w14:paraId="247DBC53" w14:textId="77777777">
            <w:r>
              <w:rPr>
                <w:noProof/>
              </w:rPr>
              <w:t>Este indicador evalúa la capacidad de el/la docente para promover un ambiente de trabajo que propicia el aprendizaje, generando relaciones de confianza, valoración y respeto con sus estudiantes.</w:t>
            </w:r>
          </w:p>
        </w:tc>
      </w:tr>
      <w:tr w:rsidR="00A7228C" w:rsidTr="15908D65" w14:paraId="2DD8B6C3" w14:textId="77777777">
        <w:tc>
          <w:tcPr>
            <w:tcW w:w="3681" w:type="dxa"/>
            <w:shd w:val="clear" w:color="auto" w:fill="D3DDEB"/>
            <w:tcMar/>
          </w:tcPr>
          <w:p w:rsidRPr="00FF1EEF" w:rsidR="00A7228C" w:rsidP="00942C7D" w:rsidRDefault="00A7228C" w14:paraId="70CE9930" w14:textId="77777777">
            <w:pPr>
              <w:rPr>
                <w:b/>
              </w:rPr>
            </w:pPr>
            <w:r>
              <w:rPr>
                <w:b/>
              </w:rPr>
              <w:t>Palabras clave</w:t>
            </w:r>
          </w:p>
        </w:tc>
        <w:tc>
          <w:tcPr>
            <w:tcW w:w="5147" w:type="dxa"/>
            <w:tcMar/>
          </w:tcPr>
          <w:p w:rsidR="00A7228C" w:rsidP="00942C7D" w:rsidRDefault="00B35565" w14:paraId="40D7B21C" w14:textId="0107B027">
            <w:r>
              <w:rPr>
                <w:noProof/>
              </w:rPr>
              <w:t>R</w:t>
            </w:r>
            <w:r w:rsidR="00A7228C">
              <w:rPr>
                <w:noProof/>
              </w:rPr>
              <w:t>espeto, focalización</w:t>
            </w:r>
            <w:r w:rsidR="008876C8">
              <w:rPr>
                <w:noProof/>
              </w:rPr>
              <w:t xml:space="preserve"> y</w:t>
            </w:r>
            <w:r w:rsidR="00A7228C">
              <w:rPr>
                <w:noProof/>
              </w:rPr>
              <w:t xml:space="preserve"> humor</w:t>
            </w:r>
            <w:r>
              <w:rPr>
                <w:noProof/>
              </w:rPr>
              <w:t>.</w:t>
            </w:r>
          </w:p>
        </w:tc>
      </w:tr>
      <w:tr w:rsidR="00A7228C" w:rsidTr="15908D65" w14:paraId="530F43C3" w14:textId="77777777">
        <w:tc>
          <w:tcPr>
            <w:tcW w:w="3681" w:type="dxa"/>
            <w:shd w:val="clear" w:color="auto" w:fill="D3DDEB"/>
            <w:tcMar/>
          </w:tcPr>
          <w:p w:rsidRPr="00FF1EEF" w:rsidR="00A7228C" w:rsidP="00942C7D" w:rsidRDefault="00A7228C" w14:paraId="6DE82177" w14:textId="77777777">
            <w:pPr>
              <w:rPr>
                <w:b/>
              </w:rPr>
            </w:pPr>
            <w:r>
              <w:rPr>
                <w:b/>
              </w:rPr>
              <w:t>Módulo de Portafolio</w:t>
            </w:r>
          </w:p>
        </w:tc>
        <w:tc>
          <w:tcPr>
            <w:tcW w:w="5147" w:type="dxa"/>
            <w:tcMar/>
          </w:tcPr>
          <w:p w:rsidR="00A7228C" w:rsidP="00DF254A" w:rsidRDefault="00A7228C" w14:paraId="7D58CF22" w14:textId="1EFD726E">
            <w:r>
              <w:rPr>
                <w:noProof/>
              </w:rPr>
              <w:t>Módulo 2</w:t>
            </w:r>
          </w:p>
        </w:tc>
      </w:tr>
      <w:tr w:rsidR="00A7228C" w:rsidTr="15908D65" w14:paraId="6DD07A2D" w14:textId="77777777">
        <w:tc>
          <w:tcPr>
            <w:tcW w:w="3681" w:type="dxa"/>
            <w:shd w:val="clear" w:color="auto" w:fill="D3DDEB"/>
            <w:tcMar/>
          </w:tcPr>
          <w:p w:rsidRPr="00FF1EEF" w:rsidR="00A7228C" w:rsidP="00942C7D" w:rsidRDefault="00A7228C" w14:paraId="0BA765C9" w14:textId="77777777">
            <w:pPr>
              <w:rPr>
                <w:b/>
              </w:rPr>
            </w:pPr>
            <w:r>
              <w:rPr>
                <w:b/>
              </w:rPr>
              <w:t>Tarea Portafolio asociada</w:t>
            </w:r>
          </w:p>
        </w:tc>
        <w:tc>
          <w:tcPr>
            <w:tcW w:w="5147" w:type="dxa"/>
            <w:tcMar/>
          </w:tcPr>
          <w:p w:rsidR="00A7228C" w:rsidP="00942C7D" w:rsidRDefault="00A7228C" w14:paraId="2FF8909C" w14:textId="7C1BAA85">
            <w:r>
              <w:rPr>
                <w:noProof/>
              </w:rPr>
              <w:t>Tarea 4 Clase grabada</w:t>
            </w:r>
          </w:p>
        </w:tc>
      </w:tr>
      <w:tr w:rsidR="00A7228C" w:rsidTr="15908D65" w14:paraId="6672FC07" w14:textId="77777777">
        <w:tc>
          <w:tcPr>
            <w:tcW w:w="3681" w:type="dxa"/>
            <w:shd w:val="clear" w:color="auto" w:fill="D3DDEB"/>
            <w:tcMar/>
          </w:tcPr>
          <w:p w:rsidRPr="00FF1EEF" w:rsidR="00A7228C" w:rsidP="00942C7D" w:rsidRDefault="00A7228C" w14:paraId="71EBF174" w14:textId="77777777">
            <w:pPr>
              <w:rPr>
                <w:b/>
              </w:rPr>
            </w:pPr>
            <w:r>
              <w:rPr>
                <w:b/>
              </w:rPr>
              <w:t>Indicador(es) asociado(s)</w:t>
            </w:r>
          </w:p>
        </w:tc>
        <w:tc>
          <w:tcPr>
            <w:tcW w:w="5147" w:type="dxa"/>
            <w:tcMar/>
          </w:tcPr>
          <w:p w:rsidR="00A7228C" w:rsidP="00942C7D" w:rsidRDefault="00A7228C" w14:paraId="039AD892" w14:textId="4C699D60">
            <w:r>
              <w:rPr>
                <w:noProof/>
              </w:rPr>
              <w:t>Ambiente de trabajo</w:t>
            </w:r>
          </w:p>
        </w:tc>
      </w:tr>
      <w:tr w:rsidR="00A7228C" w:rsidTr="15908D65" w14:paraId="636AAD91" w14:textId="77777777">
        <w:tc>
          <w:tcPr>
            <w:tcW w:w="3681" w:type="dxa"/>
            <w:shd w:val="clear" w:color="auto" w:fill="D3DDEB"/>
            <w:tcMar/>
          </w:tcPr>
          <w:p w:rsidRPr="00FF1EEF" w:rsidR="00A7228C" w:rsidP="00942C7D" w:rsidRDefault="00A7228C" w14:paraId="643B9213" w14:textId="77777777">
            <w:pPr>
              <w:rPr>
                <w:b/>
              </w:rPr>
            </w:pPr>
            <w:r>
              <w:rPr>
                <w:b/>
              </w:rPr>
              <w:t>Fundamentación de la selección de la práctica/indicador</w:t>
            </w:r>
          </w:p>
        </w:tc>
        <w:tc>
          <w:tcPr>
            <w:tcW w:w="5147" w:type="dxa"/>
            <w:tcMar/>
          </w:tcPr>
          <w:p w:rsidR="00A7228C" w:rsidP="00942C7D" w:rsidRDefault="00A7228C" w14:paraId="5C5FD491" w14:textId="5A8BD534">
            <w:r>
              <w:rPr>
                <w:noProof/>
              </w:rPr>
              <w:t>Muestra el nivel de desempeño esperado, se observan con claridad todos los elementos del indicador</w:t>
            </w:r>
            <w:r w:rsidR="00E229C3">
              <w:rPr>
                <w:noProof/>
              </w:rPr>
              <w:t>. E</w:t>
            </w:r>
            <w:r>
              <w:rPr>
                <w:noProof/>
              </w:rPr>
              <w:t>n cuanto a buena convivencia, existe trato respetuoso</w:t>
            </w:r>
            <w:r w:rsidR="00CF01AA">
              <w:rPr>
                <w:noProof/>
              </w:rPr>
              <w:t xml:space="preserve"> </w:t>
            </w:r>
            <w:r>
              <w:rPr>
                <w:noProof/>
              </w:rPr>
              <w:t>porque los</w:t>
            </w:r>
            <w:r w:rsidR="008876C8">
              <w:rPr>
                <w:noProof/>
              </w:rPr>
              <w:t>/as</w:t>
            </w:r>
            <w:r>
              <w:rPr>
                <w:noProof/>
              </w:rPr>
              <w:t xml:space="preserve"> estudiantes escuchan</w:t>
            </w:r>
            <w:r w:rsidR="00A018B0">
              <w:rPr>
                <w:noProof/>
              </w:rPr>
              <w:t>,</w:t>
            </w:r>
            <w:r>
              <w:rPr>
                <w:noProof/>
              </w:rPr>
              <w:t xml:space="preserve"> tanto las preguntas e intervenciones de la docente como las respuestas de sus compañeros, ademá</w:t>
            </w:r>
            <w:r w:rsidR="00A018B0">
              <w:rPr>
                <w:noProof/>
              </w:rPr>
              <w:t xml:space="preserve">s </w:t>
            </w:r>
            <w:r>
              <w:rPr>
                <w:noProof/>
              </w:rPr>
              <w:t>están focalizados</w:t>
            </w:r>
            <w:r w:rsidR="00A018B0">
              <w:rPr>
                <w:noProof/>
              </w:rPr>
              <w:t>,</w:t>
            </w:r>
            <w:r>
              <w:rPr>
                <w:noProof/>
              </w:rPr>
              <w:t xml:space="preserve"> ya que están atentos</w:t>
            </w:r>
            <w:r w:rsidR="00A018B0">
              <w:rPr>
                <w:noProof/>
              </w:rPr>
              <w:t>/as</w:t>
            </w:r>
            <w:r>
              <w:rPr>
                <w:noProof/>
              </w:rPr>
              <w:t xml:space="preserve"> a responder esas preguntas. También se observa relación de confianza, tanto desde los</w:t>
            </w:r>
            <w:r w:rsidR="008876C8">
              <w:rPr>
                <w:noProof/>
              </w:rPr>
              <w:t>/as</w:t>
            </w:r>
            <w:r>
              <w:rPr>
                <w:noProof/>
              </w:rPr>
              <w:t xml:space="preserve"> estudiantes como desde la docente: la </w:t>
            </w:r>
            <w:r w:rsidR="008876C8">
              <w:rPr>
                <w:noProof/>
              </w:rPr>
              <w:t>docente</w:t>
            </w:r>
            <w:r>
              <w:rPr>
                <w:noProof/>
              </w:rPr>
              <w:t xml:space="preserve"> recurre frecuentemente al humor y los</w:t>
            </w:r>
            <w:r w:rsidR="008876C8">
              <w:rPr>
                <w:noProof/>
              </w:rPr>
              <w:t>/as</w:t>
            </w:r>
            <w:r>
              <w:rPr>
                <w:noProof/>
              </w:rPr>
              <w:t xml:space="preserve"> estudiantes responden con risas, la docente los</w:t>
            </w:r>
            <w:r w:rsidR="008876C8">
              <w:rPr>
                <w:noProof/>
              </w:rPr>
              <w:t>/as</w:t>
            </w:r>
            <w:r>
              <w:rPr>
                <w:noProof/>
              </w:rPr>
              <w:t xml:space="preserve"> conoce, sabe que un estudiante vivió en el norte y lo incorpora en su relato, hay una estudiante que cuenta una experiencia muy personal y otra estudiante de manera espont</w:t>
            </w:r>
            <w:r w:rsidR="00CF01AA">
              <w:rPr>
                <w:noProof/>
              </w:rPr>
              <w:t>á</w:t>
            </w:r>
            <w:r>
              <w:rPr>
                <w:noProof/>
              </w:rPr>
              <w:t>nea realiza una pregunta.</w:t>
            </w:r>
          </w:p>
        </w:tc>
      </w:tr>
      <w:tr w:rsidR="00A7228C" w:rsidTr="15908D65" w14:paraId="11F95F29" w14:textId="77777777">
        <w:tc>
          <w:tcPr>
            <w:tcW w:w="3681" w:type="dxa"/>
            <w:shd w:val="clear" w:color="auto" w:fill="D3DDEB"/>
            <w:tcMar/>
          </w:tcPr>
          <w:p w:rsidRPr="00FF1EEF" w:rsidR="00A7228C" w:rsidP="00942C7D" w:rsidRDefault="00A7228C" w14:paraId="0E918D4A" w14:textId="77777777">
            <w:pPr>
              <w:rPr>
                <w:b/>
              </w:rPr>
            </w:pPr>
            <w:r>
              <w:rPr>
                <w:b/>
              </w:rPr>
              <w:t>Descripción</w:t>
            </w:r>
          </w:p>
        </w:tc>
        <w:tc>
          <w:tcPr>
            <w:tcW w:w="5147" w:type="dxa"/>
            <w:tcMar/>
          </w:tcPr>
          <w:p w:rsidR="00A7228C" w:rsidP="00942C7D" w:rsidRDefault="00A7228C" w14:paraId="00E5FBCC" w14:textId="48607CBD">
            <w:r>
              <w:rPr>
                <w:noProof/>
              </w:rPr>
              <w:t>Se observa una clase en la cual, la docente aborda los aluviones y aludes. La docente</w:t>
            </w:r>
            <w:r w:rsidR="00A018B0">
              <w:rPr>
                <w:noProof/>
              </w:rPr>
              <w:t>,</w:t>
            </w:r>
            <w:r>
              <w:rPr>
                <w:noProof/>
              </w:rPr>
              <w:t xml:space="preserve"> inicialmente</w:t>
            </w:r>
            <w:r w:rsidR="00A018B0">
              <w:rPr>
                <w:noProof/>
              </w:rPr>
              <w:t>,</w:t>
            </w:r>
            <w:r>
              <w:rPr>
                <w:noProof/>
              </w:rPr>
              <w:t xml:space="preserve"> promueve la participación </w:t>
            </w:r>
            <w:r w:rsidR="00A018B0">
              <w:rPr>
                <w:noProof/>
              </w:rPr>
              <w:t>de</w:t>
            </w:r>
            <w:r>
              <w:rPr>
                <w:noProof/>
              </w:rPr>
              <w:t xml:space="preserve"> los</w:t>
            </w:r>
            <w:r w:rsidR="008876C8">
              <w:rPr>
                <w:noProof/>
              </w:rPr>
              <w:t>/as</w:t>
            </w:r>
            <w:r>
              <w:rPr>
                <w:noProof/>
              </w:rPr>
              <w:t xml:space="preserve"> estudiantes </w:t>
            </w:r>
            <w:r w:rsidR="00A018B0">
              <w:rPr>
                <w:noProof/>
              </w:rPr>
              <w:t>en</w:t>
            </w:r>
            <w:r>
              <w:rPr>
                <w:noProof/>
              </w:rPr>
              <w:t xml:space="preserve"> su clase, record</w:t>
            </w:r>
            <w:r w:rsidR="00CF01AA">
              <w:rPr>
                <w:noProof/>
              </w:rPr>
              <w:t>á</w:t>
            </w:r>
            <w:r>
              <w:rPr>
                <w:noProof/>
              </w:rPr>
              <w:t xml:space="preserve">ndoles que pueden preguntar y </w:t>
            </w:r>
            <w:r>
              <w:rPr>
                <w:noProof/>
              </w:rPr>
              <w:lastRenderedPageBreak/>
              <w:t>comentar en cualquier momento de la clase. Luego</w:t>
            </w:r>
            <w:r w:rsidR="00A018B0">
              <w:rPr>
                <w:noProof/>
              </w:rPr>
              <w:t>,</w:t>
            </w:r>
            <w:r>
              <w:rPr>
                <w:noProof/>
              </w:rPr>
              <w:t xml:space="preserve"> cuando les pregunta si conocen el norte</w:t>
            </w:r>
            <w:r w:rsidR="00A018B0">
              <w:rPr>
                <w:noProof/>
              </w:rPr>
              <w:t>,</w:t>
            </w:r>
            <w:r>
              <w:rPr>
                <w:noProof/>
              </w:rPr>
              <w:t xml:space="preserve"> se escuchan risas y se observa que conoce a sus estudiantes cuando señala que  Jordan también es del norte. Después vemos como una estudiante tiene una demostración de confianza al narrar su experiencia en el aluvión que afectó al norte chico el año 2016. La docente se detiene a hablar de la importancia del respeto en las opiniones y en especial de los abuelos, abriendo la clase a temas más personales y formativos, es más, hace referencia al amor, los</w:t>
            </w:r>
            <w:r w:rsidR="008876C8">
              <w:rPr>
                <w:noProof/>
              </w:rPr>
              <w:t>/as</w:t>
            </w:r>
            <w:r>
              <w:rPr>
                <w:noProof/>
              </w:rPr>
              <w:t xml:space="preserve"> estudiantes la escuchan con focalización. Finalmente</w:t>
            </w:r>
            <w:r w:rsidR="00AB4B1E">
              <w:rPr>
                <w:noProof/>
              </w:rPr>
              <w:t>,</w:t>
            </w:r>
            <w:r>
              <w:rPr>
                <w:noProof/>
              </w:rPr>
              <w:t xml:space="preserve"> se aprecia una pregunta espontánea de una estudiante y la docente la releva explicando de manera gráfica.</w:t>
            </w:r>
          </w:p>
        </w:tc>
      </w:tr>
    </w:tbl>
    <w:p w:rsidR="00A7228C" w:rsidP="007A3038" w:rsidRDefault="00A7228C" w14:paraId="26C45527" w14:textId="77777777">
      <w:pPr>
        <w:spacing w:after="0"/>
      </w:pPr>
    </w:p>
    <w:tbl>
      <w:tblPr>
        <w:tblStyle w:val="Tablaconcuadrcula"/>
        <w:tblW w:w="0" w:type="auto"/>
        <w:tblLook w:val="04A0" w:firstRow="1" w:lastRow="0" w:firstColumn="1" w:lastColumn="0" w:noHBand="0" w:noVBand="1"/>
      </w:tblPr>
      <w:tblGrid>
        <w:gridCol w:w="3681"/>
        <w:gridCol w:w="5147"/>
      </w:tblGrid>
      <w:tr w:rsidR="00A7228C" w:rsidTr="00E17BDF" w14:paraId="053B54B1" w14:textId="77777777">
        <w:tc>
          <w:tcPr>
            <w:tcW w:w="8828" w:type="dxa"/>
            <w:gridSpan w:val="2"/>
            <w:shd w:val="clear" w:color="auto" w:fill="006CB7"/>
          </w:tcPr>
          <w:p w:rsidR="00A7228C" w:rsidP="00EE5A14" w:rsidRDefault="00A7228C" w14:paraId="5503936B" w14:textId="77777777">
            <w:r w:rsidRPr="00E17BDF">
              <w:rPr>
                <w:b/>
                <w:color w:val="FFFFFF" w:themeColor="background1"/>
              </w:rPr>
              <w:t>ASOCIACIÓN MATERIAL Y MARCO PARA LA BUENA ENSEÑANZA</w:t>
            </w:r>
          </w:p>
        </w:tc>
      </w:tr>
      <w:tr w:rsidR="00A7228C" w:rsidTr="006F270B" w14:paraId="76F68CE9" w14:textId="77777777">
        <w:tc>
          <w:tcPr>
            <w:tcW w:w="3681" w:type="dxa"/>
            <w:shd w:val="clear" w:color="auto" w:fill="D3DDEB"/>
          </w:tcPr>
          <w:p w:rsidRPr="00FF1EEF" w:rsidR="00A7228C" w:rsidP="00EE5A14" w:rsidRDefault="00A7228C" w14:paraId="502CB9CE" w14:textId="77777777">
            <w:pPr>
              <w:rPr>
                <w:b/>
              </w:rPr>
            </w:pPr>
            <w:r w:rsidRPr="00FF1EEF">
              <w:rPr>
                <w:b/>
              </w:rPr>
              <w:t>Dominio MBE 2021</w:t>
            </w:r>
          </w:p>
        </w:tc>
        <w:tc>
          <w:tcPr>
            <w:tcW w:w="5147" w:type="dxa"/>
          </w:tcPr>
          <w:p w:rsidR="00A7228C" w:rsidP="00942C7D" w:rsidRDefault="00A7228C" w14:paraId="5EE0F3D1" w14:textId="77777777">
            <w:r>
              <w:rPr>
                <w:noProof/>
              </w:rPr>
              <w:t>Dominio B: Creación de un ambiente propicio para el aprendizaje.</w:t>
            </w:r>
          </w:p>
        </w:tc>
      </w:tr>
      <w:tr w:rsidR="00A7228C" w:rsidTr="006F270B" w14:paraId="793ED023" w14:textId="77777777">
        <w:tc>
          <w:tcPr>
            <w:tcW w:w="3681" w:type="dxa"/>
            <w:shd w:val="clear" w:color="auto" w:fill="D3DDEB"/>
          </w:tcPr>
          <w:p w:rsidRPr="00FF1EEF" w:rsidR="00A7228C" w:rsidP="00EE5A14" w:rsidRDefault="00A7228C" w14:paraId="6B88CDBD" w14:textId="77777777">
            <w:pPr>
              <w:rPr>
                <w:b/>
              </w:rPr>
            </w:pPr>
            <w:r w:rsidRPr="00FF1EEF">
              <w:rPr>
                <w:b/>
              </w:rPr>
              <w:t>Estándar(es) MBE 2021</w:t>
            </w:r>
          </w:p>
        </w:tc>
        <w:tc>
          <w:tcPr>
            <w:tcW w:w="5147" w:type="dxa"/>
          </w:tcPr>
          <w:p w:rsidR="00A7228C" w:rsidP="00942C7D" w:rsidRDefault="00A7228C" w14:paraId="7A49B8AD" w14:textId="77777777">
            <w:r>
              <w:rPr>
                <w:noProof/>
              </w:rPr>
              <w:t>Estándar 5: Ambiente respetuoso y organizado.</w:t>
            </w:r>
          </w:p>
        </w:tc>
      </w:tr>
      <w:tr w:rsidR="00A7228C" w:rsidTr="006F270B" w14:paraId="44562DA8" w14:textId="77777777">
        <w:tc>
          <w:tcPr>
            <w:tcW w:w="3681" w:type="dxa"/>
            <w:shd w:val="clear" w:color="auto" w:fill="D3DDEB"/>
          </w:tcPr>
          <w:p w:rsidRPr="00FF1EEF" w:rsidR="00A7228C" w:rsidP="00EE5A14" w:rsidRDefault="00A7228C" w14:paraId="79C3C253" w14:textId="77777777">
            <w:pPr>
              <w:rPr>
                <w:b/>
              </w:rPr>
            </w:pPr>
            <w:r w:rsidRPr="00FF1EEF">
              <w:rPr>
                <w:b/>
              </w:rPr>
              <w:t>Descriptores del MBE 2021</w:t>
            </w:r>
          </w:p>
        </w:tc>
        <w:tc>
          <w:tcPr>
            <w:tcW w:w="5147" w:type="dxa"/>
          </w:tcPr>
          <w:p w:rsidR="00A7228C" w:rsidP="00E83D0C" w:rsidRDefault="00A7228C" w14:paraId="6602F4D8" w14:textId="316EADB8">
            <w:pPr>
              <w:rPr>
                <w:noProof/>
              </w:rPr>
            </w:pPr>
            <w:r>
              <w:rPr>
                <w:noProof/>
              </w:rPr>
              <w:t>Descriptor 5.1</w:t>
            </w:r>
            <w:r w:rsidR="00AB4B1E">
              <w:rPr>
                <w:noProof/>
              </w:rPr>
              <w:t>:</w:t>
            </w:r>
            <w:r>
              <w:rPr>
                <w:noProof/>
              </w:rPr>
              <w:t xml:space="preserve"> Promueve relaciones de respeto, cercanía, honestidad y equidad en las interacciones dentro y fuera del aula.</w:t>
            </w:r>
          </w:p>
          <w:p w:rsidR="00A7228C" w:rsidP="00E83D0C" w:rsidRDefault="00A7228C" w14:paraId="1A77E4B4" w14:textId="7E0B3DE3">
            <w:pPr>
              <w:rPr>
                <w:noProof/>
              </w:rPr>
            </w:pPr>
            <w:r>
              <w:rPr>
                <w:noProof/>
              </w:rPr>
              <w:t>Descriptor 5.3</w:t>
            </w:r>
            <w:r w:rsidR="00AB4B1E">
              <w:rPr>
                <w:noProof/>
              </w:rPr>
              <w:t>:</w:t>
            </w:r>
            <w:r>
              <w:rPr>
                <w:noProof/>
              </w:rPr>
              <w:t xml:space="preserve"> Aborda oportunamente situaciones que ponen en riesgo el ambiente de respeto en el aula y cualquier manifestación de discriminación, favoreciendo la comprensión de cómo los prejuicios y estereotipos atentan contra la dignidad de las personas y el bienestar de la comunidad.</w:t>
            </w:r>
          </w:p>
          <w:p w:rsidR="00A7228C" w:rsidP="00942C7D" w:rsidRDefault="00A7228C" w14:paraId="048D85E4" w14:textId="105229B3">
            <w:r>
              <w:rPr>
                <w:noProof/>
              </w:rPr>
              <w:t>Descriptor 5.9</w:t>
            </w:r>
            <w:r w:rsidR="00AB4B1E">
              <w:rPr>
                <w:noProof/>
              </w:rPr>
              <w:t>:</w:t>
            </w:r>
            <w:r>
              <w:rPr>
                <w:noProof/>
              </w:rPr>
              <w:t xml:space="preserve"> Monitorea constantemente la convivencia y analiza la efectividad de las estrategias que utiliza para promover el trato respetuoso, prevenir y resolver conflictos.</w:t>
            </w:r>
          </w:p>
        </w:tc>
      </w:tr>
    </w:tbl>
    <w:p w:rsidR="00A7228C" w:rsidP="007A3038" w:rsidRDefault="00A7228C" w14:paraId="392257DB" w14:textId="77777777">
      <w:pPr>
        <w:spacing w:after="0"/>
      </w:pPr>
    </w:p>
    <w:sectPr w:rsidR="00A7228C" w:rsidSect="006177B1">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422E" w:rsidP="005C6EAC" w:rsidRDefault="0016422E" w14:paraId="027C5997" w14:textId="77777777">
      <w:pPr>
        <w:spacing w:after="0" w:line="240" w:lineRule="auto"/>
      </w:pPr>
      <w:r>
        <w:separator/>
      </w:r>
    </w:p>
  </w:endnote>
  <w:endnote w:type="continuationSeparator" w:id="0">
    <w:p w:rsidR="0016422E" w:rsidP="005C6EAC" w:rsidRDefault="0016422E" w14:paraId="5FDA5B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37AC21BD"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0A22EDD4" wp14:editId="790A90D0">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2562819C" wp14:editId="4F1315DD">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422E" w:rsidP="005C6EAC" w:rsidRDefault="0016422E" w14:paraId="1001D31A" w14:textId="77777777">
      <w:pPr>
        <w:spacing w:after="0" w:line="240" w:lineRule="auto"/>
      </w:pPr>
      <w:r>
        <w:separator/>
      </w:r>
    </w:p>
  </w:footnote>
  <w:footnote w:type="continuationSeparator" w:id="0">
    <w:p w:rsidR="0016422E" w:rsidP="005C6EAC" w:rsidRDefault="0016422E" w14:paraId="3DE613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3A2FCF6D" w14:textId="77777777">
    <w:pPr>
      <w:pStyle w:val="Encabezado"/>
    </w:pPr>
    <w:r>
      <w:rPr>
        <w:noProof/>
        <w:lang w:eastAsia="es-CL"/>
      </w:rPr>
      <w:drawing>
        <wp:inline distT="0" distB="0" distL="0" distR="0" wp14:anchorId="7DB69359" wp14:editId="603FC985">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B10"/>
    <w:rsid w:val="00162447"/>
    <w:rsid w:val="0016422E"/>
    <w:rsid w:val="0018596C"/>
    <w:rsid w:val="001E6413"/>
    <w:rsid w:val="002808FA"/>
    <w:rsid w:val="00291A64"/>
    <w:rsid w:val="002F6F30"/>
    <w:rsid w:val="00353F03"/>
    <w:rsid w:val="00374A2C"/>
    <w:rsid w:val="003A3893"/>
    <w:rsid w:val="003B6EFE"/>
    <w:rsid w:val="00436424"/>
    <w:rsid w:val="00464283"/>
    <w:rsid w:val="004855B1"/>
    <w:rsid w:val="00522143"/>
    <w:rsid w:val="00563203"/>
    <w:rsid w:val="005C6EAC"/>
    <w:rsid w:val="006177B1"/>
    <w:rsid w:val="00623EE1"/>
    <w:rsid w:val="006A3FDD"/>
    <w:rsid w:val="006D3C43"/>
    <w:rsid w:val="006F270B"/>
    <w:rsid w:val="0073269A"/>
    <w:rsid w:val="007562C1"/>
    <w:rsid w:val="00770144"/>
    <w:rsid w:val="007A0647"/>
    <w:rsid w:val="007A2AE6"/>
    <w:rsid w:val="007A3038"/>
    <w:rsid w:val="007E4CA7"/>
    <w:rsid w:val="00803CA9"/>
    <w:rsid w:val="008876C8"/>
    <w:rsid w:val="00896C47"/>
    <w:rsid w:val="008A5855"/>
    <w:rsid w:val="00942C7D"/>
    <w:rsid w:val="00963188"/>
    <w:rsid w:val="009959FC"/>
    <w:rsid w:val="00997129"/>
    <w:rsid w:val="009B0C24"/>
    <w:rsid w:val="00A018B0"/>
    <w:rsid w:val="00A474B0"/>
    <w:rsid w:val="00A7228C"/>
    <w:rsid w:val="00AB2BC1"/>
    <w:rsid w:val="00AB4B1E"/>
    <w:rsid w:val="00AF032B"/>
    <w:rsid w:val="00B061B5"/>
    <w:rsid w:val="00B35565"/>
    <w:rsid w:val="00BF15A3"/>
    <w:rsid w:val="00BF1B34"/>
    <w:rsid w:val="00CC62E8"/>
    <w:rsid w:val="00CE0779"/>
    <w:rsid w:val="00CF01AA"/>
    <w:rsid w:val="00D826EF"/>
    <w:rsid w:val="00D861D6"/>
    <w:rsid w:val="00DC5785"/>
    <w:rsid w:val="00DF254A"/>
    <w:rsid w:val="00E17BDF"/>
    <w:rsid w:val="00E229C3"/>
    <w:rsid w:val="00E2484E"/>
    <w:rsid w:val="00E83D0C"/>
    <w:rsid w:val="00E86E42"/>
    <w:rsid w:val="00EE5A14"/>
    <w:rsid w:val="00F171C7"/>
    <w:rsid w:val="00FF1EEF"/>
    <w:rsid w:val="03AEE0BA"/>
    <w:rsid w:val="15908D65"/>
    <w:rsid w:val="3B281F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DA023"/>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C6FFF380-00C6-4E65-BCD4-461E6D8AF1FC}"/>
</file>

<file path=customXml/itemProps3.xml><?xml version="1.0" encoding="utf-8"?>
<ds:datastoreItem xmlns:ds="http://schemas.openxmlformats.org/officeDocument/2006/customXml" ds:itemID="{6A0701F7-FDAC-41D4-8116-FDC79F5701FF}"/>
</file>

<file path=customXml/itemProps4.xml><?xml version="1.0" encoding="utf-8"?>
<ds:datastoreItem xmlns:ds="http://schemas.openxmlformats.org/officeDocument/2006/customXml" ds:itemID="{4D2FE7B3-AA28-400B-B193-550E119CD3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8</cp:revision>
  <dcterms:created xsi:type="dcterms:W3CDTF">2024-05-31T19:58:00Z</dcterms:created>
  <dcterms:modified xsi:type="dcterms:W3CDTF">2025-05-28T13:13:41Z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