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2295" w:rsidP="007A3038" w:rsidRDefault="00712295" w14:paraId="60E3CF5C" w14:textId="77777777">
      <w:pPr>
        <w:jc w:val="center"/>
      </w:pPr>
      <w:r w:rsidRPr="24618383" w:rsidR="00712295">
        <w:rPr>
          <w:b w:val="1"/>
          <w:bCs w:val="1"/>
        </w:rPr>
        <w:t>FICHA TÉCNICA CLIPS DE VIDEO</w:t>
      </w:r>
    </w:p>
    <w:p w:rsidR="00712295" w:rsidP="007A3038" w:rsidRDefault="00712295" w14:paraId="078313F9" w14:textId="77777777">
      <w:pPr>
        <w:spacing w:after="0"/>
      </w:pPr>
    </w:p>
    <w:tbl>
      <w:tblPr>
        <w:tblStyle w:val="Tablaconcuadrcula"/>
        <w:tblW w:w="0" w:type="auto"/>
        <w:tblLook w:val="04A0" w:firstRow="1" w:lastRow="0" w:firstColumn="1" w:lastColumn="0" w:noHBand="0" w:noVBand="1"/>
      </w:tblPr>
      <w:tblGrid>
        <w:gridCol w:w="3681"/>
        <w:gridCol w:w="5147"/>
      </w:tblGrid>
      <w:tr w:rsidR="00712295" w:rsidTr="07004765" w14:paraId="426DD119" w14:textId="77777777">
        <w:tc>
          <w:tcPr>
            <w:tcW w:w="8828" w:type="dxa"/>
            <w:gridSpan w:val="2"/>
            <w:shd w:val="clear" w:color="auto" w:fill="006CB7"/>
            <w:tcMar/>
          </w:tcPr>
          <w:p w:rsidR="00712295" w:rsidP="00942C7D" w:rsidRDefault="00712295" w14:paraId="4AA1F62C" w14:textId="5C456D0C">
            <w:r w:rsidRPr="07004765" w:rsidR="00712295">
              <w:rPr>
                <w:b w:val="1"/>
                <w:bCs w:val="1"/>
                <w:color w:val="FFFFFF" w:themeColor="background1" w:themeTint="FF" w:themeShade="FF"/>
              </w:rPr>
              <w:t>ANTECEDENTES</w:t>
            </w:r>
            <w:r w:rsidRPr="07004765" w:rsidR="6340E60E">
              <w:rPr>
                <w:b w:val="1"/>
                <w:bCs w:val="1"/>
                <w:color w:val="FFFFFF" w:themeColor="background1" w:themeTint="FF" w:themeShade="FF"/>
              </w:rPr>
              <w:t xml:space="preserve"> GENERALES</w:t>
            </w:r>
          </w:p>
        </w:tc>
      </w:tr>
      <w:tr w:rsidR="00712295" w:rsidTr="07004765" w14:paraId="52205DE5" w14:textId="77777777">
        <w:tc>
          <w:tcPr>
            <w:tcW w:w="3681" w:type="dxa"/>
            <w:shd w:val="clear" w:color="auto" w:fill="D3DDEB"/>
            <w:tcMar/>
          </w:tcPr>
          <w:p w:rsidRPr="00FF1EEF" w:rsidR="00712295" w:rsidP="006D3C43" w:rsidRDefault="00712295" w14:paraId="2CA3BA7C" w14:textId="77777777">
            <w:pPr>
              <w:rPr>
                <w:b/>
              </w:rPr>
            </w:pPr>
            <w:r>
              <w:rPr>
                <w:b/>
              </w:rPr>
              <w:t>Comuna</w:t>
            </w:r>
          </w:p>
        </w:tc>
        <w:tc>
          <w:tcPr>
            <w:tcW w:w="5147" w:type="dxa"/>
            <w:tcMar/>
          </w:tcPr>
          <w:p w:rsidR="00712295" w:rsidP="00942C7D" w:rsidRDefault="00EA465E" w14:paraId="2035FC64" w14:textId="51973C39">
            <w:r>
              <w:rPr>
                <w:noProof/>
              </w:rPr>
              <w:t>La Granja</w:t>
            </w:r>
          </w:p>
        </w:tc>
      </w:tr>
      <w:tr w:rsidR="00712295" w:rsidTr="07004765" w14:paraId="6EF3E2E1" w14:textId="77777777">
        <w:tc>
          <w:tcPr>
            <w:tcW w:w="3681" w:type="dxa"/>
            <w:shd w:val="clear" w:color="auto" w:fill="D3DDEB"/>
            <w:tcMar/>
          </w:tcPr>
          <w:p w:rsidRPr="00FF1EEF" w:rsidR="00712295" w:rsidP="00942C7D" w:rsidRDefault="00712295" w14:paraId="3EBF04AA" w14:textId="77777777">
            <w:pPr>
              <w:rPr>
                <w:b/>
              </w:rPr>
            </w:pPr>
            <w:r>
              <w:rPr>
                <w:b/>
              </w:rPr>
              <w:t>Región</w:t>
            </w:r>
          </w:p>
        </w:tc>
        <w:tc>
          <w:tcPr>
            <w:tcW w:w="5147" w:type="dxa"/>
            <w:tcMar/>
          </w:tcPr>
          <w:p w:rsidR="00712295" w:rsidP="00942C7D" w:rsidRDefault="00712295" w14:paraId="4122CBDE" w14:textId="35AFEEFA">
            <w:r>
              <w:rPr>
                <w:noProof/>
              </w:rPr>
              <w:t>Región Metropolitana</w:t>
            </w:r>
          </w:p>
        </w:tc>
      </w:tr>
      <w:tr w:rsidR="00712295" w:rsidTr="07004765" w14:paraId="5D7D8561" w14:textId="77777777">
        <w:tc>
          <w:tcPr>
            <w:tcW w:w="3681" w:type="dxa"/>
            <w:shd w:val="clear" w:color="auto" w:fill="D3DDEB"/>
            <w:tcMar/>
          </w:tcPr>
          <w:p w:rsidRPr="00FF1EEF" w:rsidR="00712295" w:rsidP="007562C1" w:rsidRDefault="00712295" w14:paraId="1D53CCC6" w14:textId="77777777">
            <w:pPr>
              <w:rPr>
                <w:b/>
              </w:rPr>
            </w:pPr>
            <w:r>
              <w:rPr>
                <w:b/>
              </w:rPr>
              <w:t>Dependencia</w:t>
            </w:r>
          </w:p>
        </w:tc>
        <w:tc>
          <w:tcPr>
            <w:tcW w:w="5147" w:type="dxa"/>
            <w:tcMar/>
          </w:tcPr>
          <w:p w:rsidR="00712295" w:rsidP="00942C7D" w:rsidRDefault="00712295" w14:paraId="32E3854C" w14:textId="396FBA4D">
            <w:r>
              <w:rPr>
                <w:noProof/>
              </w:rPr>
              <w:t>Servicio Local de Educación Pública Gabriela Mistral</w:t>
            </w:r>
          </w:p>
        </w:tc>
      </w:tr>
    </w:tbl>
    <w:p w:rsidR="00712295" w:rsidP="007A3038" w:rsidRDefault="00712295" w14:paraId="3372D319" w14:textId="77777777">
      <w:pPr>
        <w:spacing w:after="0"/>
      </w:pPr>
    </w:p>
    <w:tbl>
      <w:tblPr>
        <w:tblStyle w:val="Tablaconcuadrcula"/>
        <w:tblW w:w="0" w:type="auto"/>
        <w:tblLook w:val="04A0" w:firstRow="1" w:lastRow="0" w:firstColumn="1" w:lastColumn="0" w:noHBand="0" w:noVBand="1"/>
      </w:tblPr>
      <w:tblGrid>
        <w:gridCol w:w="3681"/>
        <w:gridCol w:w="5147"/>
      </w:tblGrid>
      <w:tr w:rsidR="00712295" w:rsidTr="24618383" w14:paraId="7EA1F34F" w14:textId="77777777">
        <w:tc>
          <w:tcPr>
            <w:tcW w:w="8828" w:type="dxa"/>
            <w:gridSpan w:val="2"/>
            <w:shd w:val="clear" w:color="auto" w:fill="006CB7"/>
            <w:tcMar/>
          </w:tcPr>
          <w:p w:rsidR="00712295" w:rsidP="00942C7D" w:rsidRDefault="00712295" w14:paraId="57193F65" w14:textId="77777777">
            <w:r w:rsidRPr="007A3038">
              <w:rPr>
                <w:b/>
                <w:color w:val="FFFFFF" w:themeColor="background1"/>
              </w:rPr>
              <w:t>INFORMACIÓN DEL CLIP</w:t>
            </w:r>
          </w:p>
        </w:tc>
      </w:tr>
      <w:tr w:rsidR="00712295" w:rsidTr="24618383" w14:paraId="681D07D2" w14:textId="77777777">
        <w:tc>
          <w:tcPr>
            <w:tcW w:w="3681" w:type="dxa"/>
            <w:shd w:val="clear" w:color="auto" w:fill="D3DDEB"/>
            <w:tcMar/>
          </w:tcPr>
          <w:p w:rsidRPr="00FF1EEF" w:rsidR="00712295" w:rsidP="00942C7D" w:rsidRDefault="000331F5" w14:paraId="4AD67213" w14:textId="34A28F9C">
            <w:pPr>
              <w:rPr>
                <w:b/>
              </w:rPr>
            </w:pPr>
            <w:r>
              <w:rPr>
                <w:b/>
              </w:rPr>
              <w:t>Nivel</w:t>
            </w:r>
          </w:p>
        </w:tc>
        <w:tc>
          <w:tcPr>
            <w:tcW w:w="5147" w:type="dxa"/>
            <w:tcMar/>
          </w:tcPr>
          <w:p w:rsidR="00712295" w:rsidP="00942C7D" w:rsidRDefault="00712295" w14:paraId="1FE3255C" w14:textId="696984E7">
            <w:r>
              <w:rPr>
                <w:noProof/>
              </w:rPr>
              <w:t>Sala Cuna</w:t>
            </w:r>
          </w:p>
        </w:tc>
      </w:tr>
      <w:tr w:rsidR="00712295" w:rsidTr="24618383" w14:paraId="6F07AD14" w14:textId="77777777">
        <w:tc>
          <w:tcPr>
            <w:tcW w:w="3681" w:type="dxa"/>
            <w:shd w:val="clear" w:color="auto" w:fill="D3DDEB"/>
            <w:tcMar/>
          </w:tcPr>
          <w:p w:rsidRPr="00FF1EEF" w:rsidR="00712295" w:rsidP="00942C7D" w:rsidRDefault="00712295" w14:paraId="78CD274A" w14:textId="77777777">
            <w:pPr>
              <w:rPr>
                <w:b/>
              </w:rPr>
            </w:pPr>
            <w:r>
              <w:rPr>
                <w:b/>
              </w:rPr>
              <w:t>Tipo de material</w:t>
            </w:r>
          </w:p>
        </w:tc>
        <w:tc>
          <w:tcPr>
            <w:tcW w:w="5147" w:type="dxa"/>
            <w:tcMar/>
          </w:tcPr>
          <w:p w:rsidR="00712295" w:rsidP="00942C7D" w:rsidRDefault="00712295" w14:paraId="7169484D" w14:textId="3633BDC1">
            <w:r>
              <w:t>Clip de clase grabada</w:t>
            </w:r>
          </w:p>
        </w:tc>
      </w:tr>
      <w:tr w:rsidR="00712295" w:rsidTr="24618383" w14:paraId="09A1DA75" w14:textId="77777777">
        <w:tc>
          <w:tcPr>
            <w:tcW w:w="3681" w:type="dxa"/>
            <w:shd w:val="clear" w:color="auto" w:fill="D3DDEB"/>
            <w:tcMar/>
          </w:tcPr>
          <w:p w:rsidRPr="00FF1EEF" w:rsidR="00712295" w:rsidP="00942C7D" w:rsidRDefault="00712295" w14:paraId="1487C2E4" w14:textId="77777777">
            <w:pPr>
              <w:rPr>
                <w:b/>
              </w:rPr>
            </w:pPr>
            <w:r>
              <w:rPr>
                <w:b/>
              </w:rPr>
              <w:t>Práctica(s) pedagógica(s) asociada(s)</w:t>
            </w:r>
          </w:p>
        </w:tc>
        <w:tc>
          <w:tcPr>
            <w:tcW w:w="5147" w:type="dxa"/>
            <w:tcMar/>
          </w:tcPr>
          <w:p w:rsidR="00712295" w:rsidP="00942C7D" w:rsidRDefault="00712295" w14:paraId="374C6A96" w14:textId="77777777">
            <w:r>
              <w:rPr>
                <w:noProof/>
              </w:rPr>
              <w:t>Este indicador evalúa la capacidad de el/la educador/a para organizar los distintos períodos de la jornada de manera que contribuyan al logro de los objetivos propuestos, favoreciendo el desarrollo integral de los niños y niñas.</w:t>
            </w:r>
          </w:p>
        </w:tc>
      </w:tr>
      <w:tr w:rsidR="00712295" w:rsidTr="24618383" w14:paraId="4F3D0E69" w14:textId="77777777">
        <w:tc>
          <w:tcPr>
            <w:tcW w:w="3681" w:type="dxa"/>
            <w:shd w:val="clear" w:color="auto" w:fill="D3DDEB"/>
            <w:tcMar/>
          </w:tcPr>
          <w:p w:rsidRPr="00FF1EEF" w:rsidR="00712295" w:rsidP="00942C7D" w:rsidRDefault="00712295" w14:paraId="21466571" w14:textId="77777777">
            <w:pPr>
              <w:rPr>
                <w:b/>
              </w:rPr>
            </w:pPr>
            <w:r>
              <w:rPr>
                <w:b/>
              </w:rPr>
              <w:t>Palabras clave</w:t>
            </w:r>
          </w:p>
        </w:tc>
        <w:tc>
          <w:tcPr>
            <w:tcW w:w="5147" w:type="dxa"/>
            <w:tcMar/>
          </w:tcPr>
          <w:p w:rsidR="00712295" w:rsidP="00942C7D" w:rsidRDefault="00712295" w14:paraId="24AE569A" w14:textId="5F253F25">
            <w:r>
              <w:rPr>
                <w:noProof/>
              </w:rPr>
              <w:t>Coherencia entre las experiencias</w:t>
            </w:r>
            <w:r w:rsidR="000331F5">
              <w:rPr>
                <w:noProof/>
              </w:rPr>
              <w:t xml:space="preserve">, relación con </w:t>
            </w:r>
            <w:r>
              <w:rPr>
                <w:noProof/>
              </w:rPr>
              <w:t>los objetivos</w:t>
            </w:r>
            <w:r w:rsidR="000331F5">
              <w:rPr>
                <w:noProof/>
              </w:rPr>
              <w:t xml:space="preserve"> y cobertura de los objetivos</w:t>
            </w:r>
            <w:r>
              <w:rPr>
                <w:noProof/>
              </w:rPr>
              <w:t>.</w:t>
            </w:r>
          </w:p>
        </w:tc>
      </w:tr>
      <w:tr w:rsidR="00712295" w:rsidTr="24618383" w14:paraId="22644F1E" w14:textId="77777777">
        <w:tc>
          <w:tcPr>
            <w:tcW w:w="3681" w:type="dxa"/>
            <w:shd w:val="clear" w:color="auto" w:fill="D3DDEB"/>
            <w:tcMar/>
          </w:tcPr>
          <w:p w:rsidRPr="00FF1EEF" w:rsidR="00712295" w:rsidP="00942C7D" w:rsidRDefault="00712295" w14:paraId="745EC262" w14:textId="77777777">
            <w:pPr>
              <w:rPr>
                <w:b/>
              </w:rPr>
            </w:pPr>
            <w:r>
              <w:rPr>
                <w:b/>
              </w:rPr>
              <w:t>Módulo de Portafolio</w:t>
            </w:r>
          </w:p>
        </w:tc>
        <w:tc>
          <w:tcPr>
            <w:tcW w:w="5147" w:type="dxa"/>
            <w:tcMar/>
          </w:tcPr>
          <w:p w:rsidR="00712295" w:rsidP="00DF254A" w:rsidRDefault="00712295" w14:paraId="72542D8C" w14:textId="7A036236">
            <w:r>
              <w:rPr>
                <w:noProof/>
              </w:rPr>
              <w:t>Módulo 2</w:t>
            </w:r>
          </w:p>
        </w:tc>
      </w:tr>
      <w:tr w:rsidR="00712295" w:rsidTr="24618383" w14:paraId="01991C6D" w14:textId="77777777">
        <w:tc>
          <w:tcPr>
            <w:tcW w:w="3681" w:type="dxa"/>
            <w:shd w:val="clear" w:color="auto" w:fill="D3DDEB"/>
            <w:tcMar/>
          </w:tcPr>
          <w:p w:rsidRPr="00FF1EEF" w:rsidR="00712295" w:rsidP="00942C7D" w:rsidRDefault="00712295" w14:paraId="7D3C0417" w14:textId="77777777">
            <w:pPr>
              <w:rPr>
                <w:b/>
              </w:rPr>
            </w:pPr>
            <w:r>
              <w:rPr>
                <w:b/>
              </w:rPr>
              <w:t>Tarea Portafolio asociada</w:t>
            </w:r>
          </w:p>
        </w:tc>
        <w:tc>
          <w:tcPr>
            <w:tcW w:w="5147" w:type="dxa"/>
            <w:tcMar/>
          </w:tcPr>
          <w:p w:rsidR="00712295" w:rsidP="00942C7D" w:rsidRDefault="00712295" w14:paraId="0275F087" w14:textId="6EDBAE4C">
            <w:r>
              <w:rPr>
                <w:noProof/>
              </w:rPr>
              <w:t>Tarea 4 Grabación de la práctica</w:t>
            </w:r>
          </w:p>
        </w:tc>
      </w:tr>
      <w:tr w:rsidR="00712295" w:rsidTr="24618383" w14:paraId="08BB355A" w14:textId="77777777">
        <w:tc>
          <w:tcPr>
            <w:tcW w:w="3681" w:type="dxa"/>
            <w:shd w:val="clear" w:color="auto" w:fill="D3DDEB"/>
            <w:tcMar/>
          </w:tcPr>
          <w:p w:rsidRPr="00FF1EEF" w:rsidR="00712295" w:rsidP="00942C7D" w:rsidRDefault="00712295" w14:paraId="69E4299C" w14:textId="77777777">
            <w:pPr>
              <w:rPr>
                <w:b/>
              </w:rPr>
            </w:pPr>
            <w:r>
              <w:rPr>
                <w:b/>
              </w:rPr>
              <w:t>Indicador(es) asociado(s)</w:t>
            </w:r>
          </w:p>
        </w:tc>
        <w:tc>
          <w:tcPr>
            <w:tcW w:w="5147" w:type="dxa"/>
            <w:tcMar/>
          </w:tcPr>
          <w:p w:rsidR="00712295" w:rsidP="00942C7D" w:rsidRDefault="00712295" w14:paraId="711D365B" w14:textId="7CBA7D09">
            <w:r>
              <w:rPr>
                <w:noProof/>
              </w:rPr>
              <w:t>Contribución de los distintos períodos de la jornada a los objetivos</w:t>
            </w:r>
          </w:p>
        </w:tc>
      </w:tr>
      <w:tr w:rsidR="00712295" w:rsidTr="24618383" w14:paraId="2EA509AC" w14:textId="77777777">
        <w:tc>
          <w:tcPr>
            <w:tcW w:w="3681" w:type="dxa"/>
            <w:shd w:val="clear" w:color="auto" w:fill="D3DDEB"/>
            <w:tcMar/>
          </w:tcPr>
          <w:p w:rsidRPr="00FF1EEF" w:rsidR="00712295" w:rsidP="00942C7D" w:rsidRDefault="00712295" w14:paraId="10FA6D94" w14:textId="77777777">
            <w:pPr>
              <w:rPr>
                <w:b/>
              </w:rPr>
            </w:pPr>
            <w:r>
              <w:rPr>
                <w:b/>
              </w:rPr>
              <w:t>Fundamentación de la selección de la práctica/indicador</w:t>
            </w:r>
          </w:p>
        </w:tc>
        <w:tc>
          <w:tcPr>
            <w:tcW w:w="5147" w:type="dxa"/>
            <w:tcMar/>
          </w:tcPr>
          <w:p w:rsidR="00712295" w:rsidP="00C92401" w:rsidRDefault="00492DD2" w14:paraId="724A7CDC" w14:textId="182B1920">
            <w:r>
              <w:rPr>
                <w:noProof/>
              </w:rPr>
              <w:t>El clip ilustra el desempeño esperado porque existe coherencia entre los objetivos y las acciones implementadas. El período constante se aborda desde el comienzo del clip hasta los dos minutos con diez segundos, mientras que, desde el minuto dos con doce segundos hasta el final del clip, se observan acciones coherentes con el objetivo de aprendizaje específico declarado para la experiencia variable como, por ejemplo, cuando la educadora pregunta por las cualidades de los objetos: ¿la botella es más grande o pequeña? ¿esto es suave? ¿o áspero? Así mismo, se propicia una instancia en la que interactúan con sus pares y adultos de manera colaborativa y respetuosa, abordando los aspectos transversales definidos en el objetivo.</w:t>
            </w:r>
          </w:p>
        </w:tc>
      </w:tr>
      <w:tr w:rsidR="00712295" w:rsidTr="24618383" w14:paraId="7354E91E" w14:textId="77777777">
        <w:tc>
          <w:tcPr>
            <w:tcW w:w="3681" w:type="dxa"/>
            <w:shd w:val="clear" w:color="auto" w:fill="D3DDEB"/>
            <w:tcMar/>
          </w:tcPr>
          <w:p w:rsidRPr="00FF1EEF" w:rsidR="00712295" w:rsidP="00942C7D" w:rsidRDefault="00712295" w14:paraId="0C70C7CE" w14:textId="77777777">
            <w:pPr>
              <w:rPr>
                <w:b/>
              </w:rPr>
            </w:pPr>
            <w:r>
              <w:rPr>
                <w:b/>
              </w:rPr>
              <w:lastRenderedPageBreak/>
              <w:t>Descripción</w:t>
            </w:r>
          </w:p>
        </w:tc>
        <w:tc>
          <w:tcPr>
            <w:tcW w:w="5147" w:type="dxa"/>
            <w:tcMar/>
          </w:tcPr>
          <w:p w:rsidR="00712295" w:rsidP="00492DD2" w:rsidRDefault="00492DD2" w14:paraId="5DADE5C7" w14:textId="3A6CD93D">
            <w:r>
              <w:rPr>
                <w:noProof/>
              </w:rPr>
              <w:t>Se observa, al comienzo del clip, que la educadora invita a los niños y niñas a realizar yoga utilizando, como recurso, una canción, para luego pasar a la rutina de la asistencia, donde los niños y niñas se debían reconocer en una fotografía y pegarla en unos globos, todo esto como parte de su experiencia constante. En la experiencia variable, los niños y niñas exploran e interactúan con botellas que tienen texturas suaves y ásperas, tarros grandes y pequeños. La educadora, durante esta exploración,  va preguntando por el tamaño de los objetos y la textura que estos tienen, verbalizando sus intentos comunicativos, todo esto, mientras interactúan con pares y adultos, de forma respetuosa.</w:t>
            </w:r>
          </w:p>
        </w:tc>
      </w:tr>
    </w:tbl>
    <w:p w:rsidR="00712295" w:rsidP="007A3038" w:rsidRDefault="00712295" w14:paraId="1B801E55" w14:textId="77777777">
      <w:pPr>
        <w:spacing w:after="0"/>
      </w:pPr>
    </w:p>
    <w:tbl>
      <w:tblPr>
        <w:tblStyle w:val="Tablaconcuadrcula"/>
        <w:tblW w:w="0" w:type="auto"/>
        <w:tblLook w:val="04A0" w:firstRow="1" w:lastRow="0" w:firstColumn="1" w:lastColumn="0" w:noHBand="0" w:noVBand="1"/>
      </w:tblPr>
      <w:tblGrid>
        <w:gridCol w:w="3681"/>
        <w:gridCol w:w="5147"/>
      </w:tblGrid>
      <w:tr w:rsidR="00712295" w:rsidTr="00E17BDF" w14:paraId="4E55FD73" w14:textId="77777777">
        <w:tc>
          <w:tcPr>
            <w:tcW w:w="8828" w:type="dxa"/>
            <w:gridSpan w:val="2"/>
            <w:shd w:val="clear" w:color="auto" w:fill="006CB7"/>
          </w:tcPr>
          <w:p w:rsidR="00712295" w:rsidP="00EE5A14" w:rsidRDefault="00712295" w14:paraId="1D18753A" w14:textId="77777777">
            <w:r w:rsidRPr="00E17BDF">
              <w:rPr>
                <w:b/>
                <w:color w:val="FFFFFF" w:themeColor="background1"/>
              </w:rPr>
              <w:t>ASOCIACIÓN MATERIAL Y MARCO PARA LA BUENA ENSEÑANZA</w:t>
            </w:r>
          </w:p>
        </w:tc>
      </w:tr>
      <w:tr w:rsidR="00712295" w:rsidTr="006F270B" w14:paraId="57AC0804" w14:textId="77777777">
        <w:tc>
          <w:tcPr>
            <w:tcW w:w="3681" w:type="dxa"/>
            <w:shd w:val="clear" w:color="auto" w:fill="D3DDEB"/>
          </w:tcPr>
          <w:p w:rsidRPr="00FF1EEF" w:rsidR="00712295" w:rsidP="00EE5A14" w:rsidRDefault="000331F5" w14:paraId="53E8F446" w14:textId="1DD5C50F">
            <w:pPr>
              <w:rPr>
                <w:b/>
              </w:rPr>
            </w:pPr>
            <w:r w:rsidRPr="000331F5">
              <w:rPr>
                <w:b/>
              </w:rPr>
              <w:t>Dominio MBE EP</w:t>
            </w:r>
          </w:p>
        </w:tc>
        <w:tc>
          <w:tcPr>
            <w:tcW w:w="5147" w:type="dxa"/>
          </w:tcPr>
          <w:p w:rsidR="00712295" w:rsidP="00942C7D" w:rsidRDefault="00712295" w14:paraId="2AF016EB" w14:textId="2ADE3E10">
            <w:r>
              <w:rPr>
                <w:noProof/>
              </w:rPr>
              <w:t>Dominio B: Creación de un Ambiente propicio para el Aprendizaje.</w:t>
            </w:r>
          </w:p>
        </w:tc>
      </w:tr>
      <w:tr w:rsidR="00712295" w:rsidTr="006F270B" w14:paraId="4D4FA444" w14:textId="77777777">
        <w:tc>
          <w:tcPr>
            <w:tcW w:w="3681" w:type="dxa"/>
            <w:shd w:val="clear" w:color="auto" w:fill="D3DDEB"/>
          </w:tcPr>
          <w:p w:rsidRPr="00FF1EEF" w:rsidR="00712295" w:rsidP="00EE5A14" w:rsidRDefault="000331F5" w14:paraId="7DBC68B3" w14:textId="7950D7A4">
            <w:pPr>
              <w:rPr>
                <w:b/>
              </w:rPr>
            </w:pPr>
            <w:r>
              <w:rPr>
                <w:b/>
              </w:rPr>
              <w:t>Criterio MBE EP</w:t>
            </w:r>
          </w:p>
        </w:tc>
        <w:tc>
          <w:tcPr>
            <w:tcW w:w="5147" w:type="dxa"/>
          </w:tcPr>
          <w:p w:rsidR="00712295" w:rsidP="00942C7D" w:rsidRDefault="00712295" w14:paraId="4009A6C5" w14:textId="77777777">
            <w:r>
              <w:rPr>
                <w:noProof/>
              </w:rPr>
              <w:t>Criterio B3: Establece e implementa una organización del tiempo para favorecer el aprendizaje.</w:t>
            </w:r>
          </w:p>
        </w:tc>
      </w:tr>
      <w:tr w:rsidR="00712295" w:rsidTr="006F270B" w14:paraId="44A3E48F" w14:textId="77777777">
        <w:tc>
          <w:tcPr>
            <w:tcW w:w="3681" w:type="dxa"/>
            <w:shd w:val="clear" w:color="auto" w:fill="D3DDEB"/>
          </w:tcPr>
          <w:p w:rsidRPr="00FF1EEF" w:rsidR="00712295" w:rsidP="00EE5A14" w:rsidRDefault="000331F5" w14:paraId="035D903C" w14:textId="370850B0">
            <w:pPr>
              <w:rPr>
                <w:b/>
              </w:rPr>
            </w:pPr>
            <w:r w:rsidRPr="000331F5">
              <w:rPr>
                <w:b/>
              </w:rPr>
              <w:t>Descriptor MBE EP</w:t>
            </w:r>
          </w:p>
        </w:tc>
        <w:tc>
          <w:tcPr>
            <w:tcW w:w="5147" w:type="dxa"/>
          </w:tcPr>
          <w:p w:rsidR="00712295" w:rsidP="00FB58A2" w:rsidRDefault="00712295" w14:paraId="377304DF" w14:textId="487268B0">
            <w:pPr>
              <w:rPr>
                <w:noProof/>
              </w:rPr>
            </w:pPr>
            <w:r>
              <w:rPr>
                <w:noProof/>
              </w:rPr>
              <w:t>Descriptor B.3.1: Define los diferentes periodos de la jornada considerando los objetivos de aprendizaje y las características de todos los niños y las niñas del grupo para favorecer la estabilidad y equilibrio en las experiencias de aprendizaje.</w:t>
            </w:r>
          </w:p>
          <w:p w:rsidR="00712295" w:rsidP="00FB58A2" w:rsidRDefault="00712295" w14:paraId="528EA5E5" w14:textId="77777777">
            <w:pPr>
              <w:rPr>
                <w:noProof/>
              </w:rPr>
            </w:pPr>
            <w:r>
              <w:rPr>
                <w:noProof/>
              </w:rPr>
              <w:t>Descriptor B.3.2: Organiza la jornada considerando periodos constantes y variables, agrupaciones diversas y espacios educativos interiores y exteriores para enriquecer las oportunidades de aprendizaje de todos los niños y las niñas del grupo.</w:t>
            </w:r>
          </w:p>
          <w:p w:rsidR="00712295" w:rsidP="00FB58A2" w:rsidRDefault="00712295" w14:paraId="457F1596" w14:textId="77777777">
            <w:pPr>
              <w:rPr>
                <w:noProof/>
              </w:rPr>
            </w:pPr>
            <w:r>
              <w:rPr>
                <w:noProof/>
              </w:rPr>
              <w:t>Descriptor B.3.3: Flexibiliza la organización del tiempo considerando las situaciones emergentes, necesidades e intereses de todos los niños y las niñas del grupo para favorecer la motivación por el aprendizaje.</w:t>
            </w:r>
          </w:p>
          <w:p w:rsidR="00712295" w:rsidP="00942C7D" w:rsidRDefault="00712295" w14:paraId="376BFBB3" w14:textId="77777777">
            <w:r>
              <w:rPr>
                <w:noProof/>
              </w:rPr>
              <w:t>Descriptor B.3.4: Define estrategias diversificadas de transición considerando los ritmos e intereses de todos los niños y las niñas del grupo para resguardar la fluidez y continuidad entre los diferentes momentos de la jornada.</w:t>
            </w:r>
          </w:p>
        </w:tc>
      </w:tr>
    </w:tbl>
    <w:p w:rsidR="00712295" w:rsidP="007A3038" w:rsidRDefault="00712295" w14:paraId="5E841651" w14:textId="77777777">
      <w:pPr>
        <w:spacing w:after="0"/>
      </w:pPr>
    </w:p>
    <w:p w:rsidR="00712295" w:rsidP="00D20C9B" w:rsidRDefault="00712295" w14:paraId="344515F0" w14:textId="77777777"/>
    <w:sectPr w:rsidR="00712295" w:rsidSect="00D20C9B">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0E42" w:rsidP="005C6EAC" w:rsidRDefault="00DB0E42" w14:paraId="3ABB1A7B" w14:textId="77777777">
      <w:pPr>
        <w:spacing w:after="0" w:line="240" w:lineRule="auto"/>
      </w:pPr>
      <w:r>
        <w:separator/>
      </w:r>
    </w:p>
  </w:endnote>
  <w:endnote w:type="continuationSeparator" w:id="0">
    <w:p w:rsidR="00DB0E42" w:rsidP="005C6EAC" w:rsidRDefault="00DB0E42" w14:paraId="3FEE30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38BF5FC5"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3FD6FB77" wp14:editId="3579E86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20D5D85E" wp14:editId="46DA47EB">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0E42" w:rsidP="005C6EAC" w:rsidRDefault="00DB0E42" w14:paraId="2516CEDB" w14:textId="77777777">
      <w:pPr>
        <w:spacing w:after="0" w:line="240" w:lineRule="auto"/>
      </w:pPr>
      <w:r>
        <w:separator/>
      </w:r>
    </w:p>
  </w:footnote>
  <w:footnote w:type="continuationSeparator" w:id="0">
    <w:p w:rsidR="00DB0E42" w:rsidP="005C6EAC" w:rsidRDefault="00DB0E42" w14:paraId="651685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2855F4A6" w14:textId="77777777">
    <w:pPr>
      <w:pStyle w:val="Encabezado"/>
    </w:pPr>
    <w:r>
      <w:rPr>
        <w:noProof/>
        <w:lang w:eastAsia="es-CL"/>
      </w:rPr>
      <w:drawing>
        <wp:inline distT="0" distB="0" distL="0" distR="0" wp14:anchorId="5F6061B2" wp14:editId="0F90C4B5">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331F5"/>
    <w:rsid w:val="00072DE8"/>
    <w:rsid w:val="000D7310"/>
    <w:rsid w:val="000D75B0"/>
    <w:rsid w:val="00162447"/>
    <w:rsid w:val="0018596C"/>
    <w:rsid w:val="00291A64"/>
    <w:rsid w:val="002F6F30"/>
    <w:rsid w:val="00335924"/>
    <w:rsid w:val="00374A2C"/>
    <w:rsid w:val="003A3893"/>
    <w:rsid w:val="00436424"/>
    <w:rsid w:val="00464283"/>
    <w:rsid w:val="004855B1"/>
    <w:rsid w:val="00492DD2"/>
    <w:rsid w:val="004D71F8"/>
    <w:rsid w:val="00563203"/>
    <w:rsid w:val="005C6EAC"/>
    <w:rsid w:val="005E0B8D"/>
    <w:rsid w:val="0060174F"/>
    <w:rsid w:val="00623EE1"/>
    <w:rsid w:val="006A3FDD"/>
    <w:rsid w:val="006D3C43"/>
    <w:rsid w:val="006F270B"/>
    <w:rsid w:val="00712295"/>
    <w:rsid w:val="0073794A"/>
    <w:rsid w:val="007562C1"/>
    <w:rsid w:val="00770144"/>
    <w:rsid w:val="007A2AE6"/>
    <w:rsid w:val="007A3038"/>
    <w:rsid w:val="007B3DB8"/>
    <w:rsid w:val="00803CA9"/>
    <w:rsid w:val="00861F94"/>
    <w:rsid w:val="00896C47"/>
    <w:rsid w:val="008A5855"/>
    <w:rsid w:val="008E4FD5"/>
    <w:rsid w:val="00942C7D"/>
    <w:rsid w:val="00953A48"/>
    <w:rsid w:val="009959FC"/>
    <w:rsid w:val="00997129"/>
    <w:rsid w:val="00A135A7"/>
    <w:rsid w:val="00A410A8"/>
    <w:rsid w:val="00A474B0"/>
    <w:rsid w:val="00A8544D"/>
    <w:rsid w:val="00AB2BC1"/>
    <w:rsid w:val="00AE437E"/>
    <w:rsid w:val="00AF032B"/>
    <w:rsid w:val="00B25586"/>
    <w:rsid w:val="00BF1B34"/>
    <w:rsid w:val="00C735EE"/>
    <w:rsid w:val="00C92401"/>
    <w:rsid w:val="00CB380F"/>
    <w:rsid w:val="00CE0779"/>
    <w:rsid w:val="00CE1E4C"/>
    <w:rsid w:val="00D20C9B"/>
    <w:rsid w:val="00D41CBB"/>
    <w:rsid w:val="00D861D6"/>
    <w:rsid w:val="00DA2EE5"/>
    <w:rsid w:val="00DB0E42"/>
    <w:rsid w:val="00DF254A"/>
    <w:rsid w:val="00E17BDF"/>
    <w:rsid w:val="00E2484E"/>
    <w:rsid w:val="00E47533"/>
    <w:rsid w:val="00E633E5"/>
    <w:rsid w:val="00E83D0C"/>
    <w:rsid w:val="00E86E42"/>
    <w:rsid w:val="00EA465E"/>
    <w:rsid w:val="00EE5A14"/>
    <w:rsid w:val="00EF1FF7"/>
    <w:rsid w:val="00F171C7"/>
    <w:rsid w:val="00F37BDA"/>
    <w:rsid w:val="00FA5447"/>
    <w:rsid w:val="00FB58A2"/>
    <w:rsid w:val="00FF1EEF"/>
    <w:rsid w:val="07004765"/>
    <w:rsid w:val="24618383"/>
    <w:rsid w:val="6340E6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FF250"/>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48F0B5ED-4009-486C-9E2B-6C711311A7F2}"/>
</file>

<file path=customXml/itemProps3.xml><?xml version="1.0" encoding="utf-8"?>
<ds:datastoreItem xmlns:ds="http://schemas.openxmlformats.org/officeDocument/2006/customXml" ds:itemID="{945F6209-B3E9-4F06-90B0-302D8B13E6FB}"/>
</file>

<file path=customXml/itemProps4.xml><?xml version="1.0" encoding="utf-8"?>
<ds:datastoreItem xmlns:ds="http://schemas.openxmlformats.org/officeDocument/2006/customXml" ds:itemID="{627FE808-6270-40A3-8C74-E212954304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10</cp:revision>
  <dcterms:created xsi:type="dcterms:W3CDTF">2024-06-12T14:10:00Z</dcterms:created>
  <dcterms:modified xsi:type="dcterms:W3CDTF">2025-05-28T13:11:33Z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0x010100E3EE16BC5438FF4790073075E21D3D86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