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2295" w:rsidP="4E40FC71" w:rsidRDefault="00712295" w14:paraId="26F98E76" w14:textId="267416E6">
      <w:pPr>
        <w:spacing w:after="0"/>
        <w:jc w:val="center"/>
      </w:pPr>
      <w:r w:rsidRPr="4E40FC71" w:rsidR="00712295">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712295" w:rsidTr="46089051" w14:paraId="4330C5B9" w14:textId="77777777">
        <w:tc>
          <w:tcPr>
            <w:tcW w:w="8828" w:type="dxa"/>
            <w:gridSpan w:val="2"/>
            <w:shd w:val="clear" w:color="auto" w:fill="006CB7"/>
            <w:tcMar/>
          </w:tcPr>
          <w:p w:rsidR="00712295" w:rsidP="00942C7D" w:rsidRDefault="00712295" w14:paraId="4EDB03E2" w14:textId="37F18679">
            <w:r w:rsidRPr="46089051" w:rsidR="00712295">
              <w:rPr>
                <w:b w:val="1"/>
                <w:bCs w:val="1"/>
                <w:color w:val="FFFFFF" w:themeColor="background1" w:themeTint="FF" w:themeShade="FF"/>
              </w:rPr>
              <w:t xml:space="preserve">ANTECEDENTES </w:t>
            </w:r>
            <w:r w:rsidRPr="46089051" w:rsidR="190AD66E">
              <w:rPr>
                <w:b w:val="1"/>
                <w:bCs w:val="1"/>
                <w:color w:val="FFFFFF" w:themeColor="background1" w:themeTint="FF" w:themeShade="FF"/>
              </w:rPr>
              <w:t>GENERALES</w:t>
            </w:r>
          </w:p>
        </w:tc>
      </w:tr>
      <w:tr w:rsidR="00712295" w:rsidTr="46089051" w14:paraId="6854BFA3" w14:textId="77777777">
        <w:tc>
          <w:tcPr>
            <w:tcW w:w="3681" w:type="dxa"/>
            <w:shd w:val="clear" w:color="auto" w:fill="D3DDEB"/>
            <w:tcMar/>
          </w:tcPr>
          <w:p w:rsidRPr="00FF1EEF" w:rsidR="00712295" w:rsidP="006D3C43" w:rsidRDefault="00712295" w14:paraId="17218B14" w14:textId="77777777">
            <w:pPr>
              <w:rPr>
                <w:b/>
              </w:rPr>
            </w:pPr>
            <w:r>
              <w:rPr>
                <w:b/>
              </w:rPr>
              <w:t>Comuna</w:t>
            </w:r>
          </w:p>
        </w:tc>
        <w:tc>
          <w:tcPr>
            <w:tcW w:w="5147" w:type="dxa"/>
            <w:tcMar/>
          </w:tcPr>
          <w:p w:rsidR="00712295" w:rsidP="00942C7D" w:rsidRDefault="0031724D" w14:paraId="7CE13FAD" w14:textId="0F9810AD">
            <w:r>
              <w:rPr>
                <w:noProof/>
              </w:rPr>
              <w:t>Santiago</w:t>
            </w:r>
          </w:p>
        </w:tc>
      </w:tr>
      <w:tr w:rsidR="00712295" w:rsidTr="46089051" w14:paraId="66CDD772" w14:textId="77777777">
        <w:tc>
          <w:tcPr>
            <w:tcW w:w="3681" w:type="dxa"/>
            <w:shd w:val="clear" w:color="auto" w:fill="D3DDEB"/>
            <w:tcMar/>
          </w:tcPr>
          <w:p w:rsidRPr="00FF1EEF" w:rsidR="00712295" w:rsidP="00942C7D" w:rsidRDefault="00712295" w14:paraId="1648D0B8" w14:textId="77777777">
            <w:pPr>
              <w:rPr>
                <w:b/>
              </w:rPr>
            </w:pPr>
            <w:r>
              <w:rPr>
                <w:b/>
              </w:rPr>
              <w:t>Región</w:t>
            </w:r>
          </w:p>
        </w:tc>
        <w:tc>
          <w:tcPr>
            <w:tcW w:w="5147" w:type="dxa"/>
            <w:tcMar/>
          </w:tcPr>
          <w:p w:rsidR="00712295" w:rsidP="00942C7D" w:rsidRDefault="00712295" w14:paraId="027BEA08" w14:textId="17C42B66">
            <w:r>
              <w:rPr>
                <w:noProof/>
              </w:rPr>
              <w:t>Región Metropolitana</w:t>
            </w:r>
          </w:p>
        </w:tc>
      </w:tr>
      <w:tr w:rsidR="00712295" w:rsidTr="46089051" w14:paraId="7098FFFC" w14:textId="77777777">
        <w:tc>
          <w:tcPr>
            <w:tcW w:w="3681" w:type="dxa"/>
            <w:shd w:val="clear" w:color="auto" w:fill="D3DDEB"/>
            <w:tcMar/>
          </w:tcPr>
          <w:p w:rsidRPr="00FF1EEF" w:rsidR="00712295" w:rsidP="007562C1" w:rsidRDefault="00712295" w14:paraId="01CF2682" w14:textId="77777777">
            <w:pPr>
              <w:rPr>
                <w:b/>
              </w:rPr>
            </w:pPr>
            <w:r>
              <w:rPr>
                <w:b/>
              </w:rPr>
              <w:t>Dependencia</w:t>
            </w:r>
          </w:p>
        </w:tc>
        <w:tc>
          <w:tcPr>
            <w:tcW w:w="5147" w:type="dxa"/>
            <w:tcMar/>
          </w:tcPr>
          <w:p w:rsidR="00712295" w:rsidP="00942C7D" w:rsidRDefault="00712295" w14:paraId="0304F789" w14:textId="5BC1B83A">
            <w:r>
              <w:rPr>
                <w:noProof/>
              </w:rPr>
              <w:t>Particular Subvencionado</w:t>
            </w:r>
          </w:p>
        </w:tc>
      </w:tr>
    </w:tbl>
    <w:p w:rsidR="00712295" w:rsidP="007A3038" w:rsidRDefault="00712295" w14:paraId="38A166BF" w14:textId="77777777">
      <w:pPr>
        <w:spacing w:after="0"/>
      </w:pPr>
    </w:p>
    <w:tbl>
      <w:tblPr>
        <w:tblStyle w:val="Tablaconcuadrcula"/>
        <w:tblW w:w="0" w:type="auto"/>
        <w:tblLook w:val="04A0" w:firstRow="1" w:lastRow="0" w:firstColumn="1" w:lastColumn="0" w:noHBand="0" w:noVBand="1"/>
      </w:tblPr>
      <w:tblGrid>
        <w:gridCol w:w="3681"/>
        <w:gridCol w:w="5147"/>
      </w:tblGrid>
      <w:tr w:rsidR="00712295" w:rsidTr="4E40FC71" w14:paraId="57C7E8E6" w14:textId="77777777">
        <w:tc>
          <w:tcPr>
            <w:tcW w:w="8828" w:type="dxa"/>
            <w:gridSpan w:val="2"/>
            <w:shd w:val="clear" w:color="auto" w:fill="006CB7"/>
            <w:tcMar/>
          </w:tcPr>
          <w:p w:rsidR="00712295" w:rsidP="00942C7D" w:rsidRDefault="00712295" w14:paraId="22EF777E" w14:textId="77777777">
            <w:r w:rsidRPr="007A3038">
              <w:rPr>
                <w:b/>
                <w:color w:val="FFFFFF" w:themeColor="background1"/>
              </w:rPr>
              <w:t>INFORMACIÓN DEL CLIP</w:t>
            </w:r>
          </w:p>
        </w:tc>
      </w:tr>
      <w:tr w:rsidR="00712295" w:rsidTr="4E40FC71" w14:paraId="7675514F" w14:textId="77777777">
        <w:tc>
          <w:tcPr>
            <w:tcW w:w="3681" w:type="dxa"/>
            <w:shd w:val="clear" w:color="auto" w:fill="D3DDEB"/>
            <w:tcMar/>
          </w:tcPr>
          <w:p w:rsidRPr="00FF1EEF" w:rsidR="00712295" w:rsidP="00942C7D" w:rsidRDefault="00930F79" w14:paraId="5BF3DB59" w14:textId="1D2D07FF">
            <w:pPr>
              <w:rPr>
                <w:b/>
              </w:rPr>
            </w:pPr>
            <w:r>
              <w:rPr>
                <w:b/>
              </w:rPr>
              <w:t>Nivel</w:t>
            </w:r>
          </w:p>
        </w:tc>
        <w:tc>
          <w:tcPr>
            <w:tcW w:w="5147" w:type="dxa"/>
            <w:tcMar/>
          </w:tcPr>
          <w:p w:rsidR="00712295" w:rsidP="00942C7D" w:rsidRDefault="00712295" w14:paraId="3532BC7A" w14:textId="7E7B7EC7">
            <w:r>
              <w:rPr>
                <w:noProof/>
              </w:rPr>
              <w:t>Transición</w:t>
            </w:r>
          </w:p>
        </w:tc>
      </w:tr>
      <w:tr w:rsidR="00712295" w:rsidTr="4E40FC71" w14:paraId="7A84F626" w14:textId="77777777">
        <w:tc>
          <w:tcPr>
            <w:tcW w:w="3681" w:type="dxa"/>
            <w:shd w:val="clear" w:color="auto" w:fill="D3DDEB"/>
            <w:tcMar/>
          </w:tcPr>
          <w:p w:rsidRPr="00FF1EEF" w:rsidR="00712295" w:rsidP="00942C7D" w:rsidRDefault="00712295" w14:paraId="3D884200" w14:textId="77777777">
            <w:pPr>
              <w:rPr>
                <w:b/>
              </w:rPr>
            </w:pPr>
            <w:r>
              <w:rPr>
                <w:b/>
              </w:rPr>
              <w:t>Tipo de material</w:t>
            </w:r>
          </w:p>
        </w:tc>
        <w:tc>
          <w:tcPr>
            <w:tcW w:w="5147" w:type="dxa"/>
            <w:tcMar/>
          </w:tcPr>
          <w:p w:rsidR="00712295" w:rsidP="00942C7D" w:rsidRDefault="00712295" w14:paraId="2F58BE30" w14:textId="62BB82EA">
            <w:r>
              <w:t>Clip de clase grabada</w:t>
            </w:r>
          </w:p>
        </w:tc>
      </w:tr>
      <w:tr w:rsidR="00712295" w:rsidTr="4E40FC71" w14:paraId="17E1A097" w14:textId="77777777">
        <w:tc>
          <w:tcPr>
            <w:tcW w:w="3681" w:type="dxa"/>
            <w:shd w:val="clear" w:color="auto" w:fill="D3DDEB"/>
            <w:tcMar/>
          </w:tcPr>
          <w:p w:rsidRPr="00FF1EEF" w:rsidR="00712295" w:rsidP="00942C7D" w:rsidRDefault="00712295" w14:paraId="59E41148" w14:textId="77777777">
            <w:pPr>
              <w:rPr>
                <w:b/>
              </w:rPr>
            </w:pPr>
            <w:r>
              <w:rPr>
                <w:b/>
              </w:rPr>
              <w:t>Práctica(s) pedagógica(s) asociada(s)</w:t>
            </w:r>
          </w:p>
        </w:tc>
        <w:tc>
          <w:tcPr>
            <w:tcW w:w="5147" w:type="dxa"/>
            <w:tcMar/>
          </w:tcPr>
          <w:p w:rsidR="00712295" w:rsidP="00942C7D" w:rsidRDefault="00712295" w14:paraId="1D77CC34" w14:textId="77777777">
            <w:r>
              <w:rPr>
                <w:noProof/>
              </w:rPr>
              <w:t>Este indicador evalúa la capacidad de el/la educador/a para proveer a los niños y las niñas de una retroalimentación ajustada y oportuna que les permita ampliar su aprendizaje.</w:t>
            </w:r>
          </w:p>
        </w:tc>
      </w:tr>
      <w:tr w:rsidR="00712295" w:rsidTr="4E40FC71" w14:paraId="69A09743" w14:textId="77777777">
        <w:tc>
          <w:tcPr>
            <w:tcW w:w="3681" w:type="dxa"/>
            <w:shd w:val="clear" w:color="auto" w:fill="D3DDEB"/>
            <w:tcMar/>
          </w:tcPr>
          <w:p w:rsidRPr="00FF1EEF" w:rsidR="00712295" w:rsidP="00942C7D" w:rsidRDefault="00712295" w14:paraId="45DA6F16" w14:textId="77777777">
            <w:pPr>
              <w:rPr>
                <w:b/>
              </w:rPr>
            </w:pPr>
            <w:r>
              <w:rPr>
                <w:b/>
              </w:rPr>
              <w:t>Palabras clave</w:t>
            </w:r>
          </w:p>
        </w:tc>
        <w:tc>
          <w:tcPr>
            <w:tcW w:w="5147" w:type="dxa"/>
            <w:tcMar/>
          </w:tcPr>
          <w:p w:rsidR="00712295" w:rsidP="0031724D" w:rsidRDefault="00712295" w14:paraId="5584FB11" w14:textId="6023015B">
            <w:r>
              <w:rPr>
                <w:noProof/>
              </w:rPr>
              <w:t>Retroalimentación de calidad</w:t>
            </w:r>
            <w:r w:rsidR="0031724D">
              <w:rPr>
                <w:noProof/>
              </w:rPr>
              <w:t>, l</w:t>
            </w:r>
            <w:r>
              <w:rPr>
                <w:noProof/>
              </w:rPr>
              <w:t>enguaje artístico</w:t>
            </w:r>
            <w:r w:rsidR="0031724D">
              <w:rPr>
                <w:noProof/>
              </w:rPr>
              <w:t xml:space="preserve"> y e</w:t>
            </w:r>
            <w:r>
              <w:rPr>
                <w:noProof/>
              </w:rPr>
              <w:t>xpresión</w:t>
            </w:r>
            <w:r w:rsidR="0031724D">
              <w:rPr>
                <w:noProof/>
              </w:rPr>
              <w:t>.</w:t>
            </w:r>
          </w:p>
        </w:tc>
      </w:tr>
      <w:tr w:rsidR="00712295" w:rsidTr="4E40FC71" w14:paraId="3FF8AAC3" w14:textId="77777777">
        <w:tc>
          <w:tcPr>
            <w:tcW w:w="3681" w:type="dxa"/>
            <w:shd w:val="clear" w:color="auto" w:fill="D3DDEB"/>
            <w:tcMar/>
          </w:tcPr>
          <w:p w:rsidRPr="00FF1EEF" w:rsidR="00712295" w:rsidP="00942C7D" w:rsidRDefault="00712295" w14:paraId="50D7C83F" w14:textId="77777777">
            <w:pPr>
              <w:rPr>
                <w:b/>
              </w:rPr>
            </w:pPr>
            <w:r>
              <w:rPr>
                <w:b/>
              </w:rPr>
              <w:t>Módulo de Portafolio</w:t>
            </w:r>
          </w:p>
        </w:tc>
        <w:tc>
          <w:tcPr>
            <w:tcW w:w="5147" w:type="dxa"/>
            <w:tcMar/>
          </w:tcPr>
          <w:p w:rsidR="00712295" w:rsidP="00DF254A" w:rsidRDefault="00712295" w14:paraId="0129E9BD" w14:textId="39F7FA0B">
            <w:r>
              <w:rPr>
                <w:noProof/>
              </w:rPr>
              <w:t>Módulo 2</w:t>
            </w:r>
          </w:p>
        </w:tc>
      </w:tr>
      <w:tr w:rsidR="00712295" w:rsidTr="4E40FC71" w14:paraId="7ECF267B" w14:textId="77777777">
        <w:tc>
          <w:tcPr>
            <w:tcW w:w="3681" w:type="dxa"/>
            <w:shd w:val="clear" w:color="auto" w:fill="D3DDEB"/>
            <w:tcMar/>
          </w:tcPr>
          <w:p w:rsidRPr="00FF1EEF" w:rsidR="00712295" w:rsidP="00942C7D" w:rsidRDefault="00712295" w14:paraId="41BBD009" w14:textId="77777777">
            <w:pPr>
              <w:rPr>
                <w:b/>
              </w:rPr>
            </w:pPr>
            <w:r>
              <w:rPr>
                <w:b/>
              </w:rPr>
              <w:t>Tarea Portafolio asociada</w:t>
            </w:r>
          </w:p>
        </w:tc>
        <w:tc>
          <w:tcPr>
            <w:tcW w:w="5147" w:type="dxa"/>
            <w:tcMar/>
          </w:tcPr>
          <w:p w:rsidR="00712295" w:rsidP="00942C7D" w:rsidRDefault="00712295" w14:paraId="5D28BC5D" w14:textId="794046BE">
            <w:r>
              <w:rPr>
                <w:noProof/>
              </w:rPr>
              <w:t>Tarea 4 Grabación de la práctica</w:t>
            </w:r>
          </w:p>
        </w:tc>
      </w:tr>
      <w:tr w:rsidR="00712295" w:rsidTr="4E40FC71" w14:paraId="5213054B" w14:textId="77777777">
        <w:tc>
          <w:tcPr>
            <w:tcW w:w="3681" w:type="dxa"/>
            <w:shd w:val="clear" w:color="auto" w:fill="D3DDEB"/>
            <w:tcMar/>
          </w:tcPr>
          <w:p w:rsidRPr="00FF1EEF" w:rsidR="00712295" w:rsidP="00942C7D" w:rsidRDefault="00712295" w14:paraId="6C042FB2" w14:textId="77777777">
            <w:pPr>
              <w:rPr>
                <w:b/>
              </w:rPr>
            </w:pPr>
            <w:r>
              <w:rPr>
                <w:b/>
              </w:rPr>
              <w:t>Indicador(es) asociado(s)</w:t>
            </w:r>
          </w:p>
        </w:tc>
        <w:tc>
          <w:tcPr>
            <w:tcW w:w="5147" w:type="dxa"/>
            <w:tcMar/>
          </w:tcPr>
          <w:p w:rsidR="00712295" w:rsidP="00942C7D" w:rsidRDefault="00712295" w14:paraId="77A6B8F8" w14:textId="31E6E38E">
            <w:r>
              <w:rPr>
                <w:noProof/>
              </w:rPr>
              <w:t>Retroalimentación de los aprendizajes de los niños y niñas</w:t>
            </w:r>
          </w:p>
        </w:tc>
      </w:tr>
      <w:tr w:rsidR="00712295" w:rsidTr="4E40FC71" w14:paraId="312E9916" w14:textId="77777777">
        <w:tc>
          <w:tcPr>
            <w:tcW w:w="3681" w:type="dxa"/>
            <w:shd w:val="clear" w:color="auto" w:fill="D3DDEB"/>
            <w:tcMar/>
          </w:tcPr>
          <w:p w:rsidRPr="00FF1EEF" w:rsidR="00712295" w:rsidP="00942C7D" w:rsidRDefault="00712295" w14:paraId="3EBEEA2F" w14:textId="77777777">
            <w:pPr>
              <w:rPr>
                <w:b/>
              </w:rPr>
            </w:pPr>
            <w:r>
              <w:rPr>
                <w:b/>
              </w:rPr>
              <w:t>Fundamentación de la selección de la práctica/indicador</w:t>
            </w:r>
          </w:p>
        </w:tc>
        <w:tc>
          <w:tcPr>
            <w:tcW w:w="5147" w:type="dxa"/>
            <w:tcMar/>
          </w:tcPr>
          <w:p w:rsidR="00712295" w:rsidP="003C3EE8" w:rsidRDefault="003C3EE8" w14:paraId="3D2AE20B" w14:textId="4831F034">
            <w:r>
              <w:rPr>
                <w:noProof/>
              </w:rPr>
              <w:t xml:space="preserve">Se ilustra el nivel de desempeño esperado porque la educadora, en algunas ocasiones, a partir de las respuestas de los niños y niñas, realiza acciones para que logren alcanzar o profundizar su desempeño. Esto se observa cuando en el comienzo del clip la educadora pregunta: ¿Qué será comunicar nuestras preferencias?, frente al cual una niña responde de manera imprecisa, lo que hace que la educadora realice una secuencia de preguntas para obtener un desempeño más ajustado. Esto corresponde a una retroalimentación de calidad. Posteriormente, realiza otra retroalimentación de calidad cuando pregunta: ¿Cuáles son las normas de la sala? Y parafrasea la respuesta de la niña para contrapreguntar y así profundizar en la respuesta de la niña. Por último, la educadora realiza una secuencia de preguntas para </w:t>
            </w:r>
            <w:r>
              <w:rPr>
                <w:noProof/>
              </w:rPr>
              <w:lastRenderedPageBreak/>
              <w:t>profundizar en el dibujo de una niña, lo que corresponde a una retroalimentación de calidad.</w:t>
            </w:r>
          </w:p>
        </w:tc>
      </w:tr>
      <w:tr w:rsidR="00712295" w:rsidTr="4E40FC71" w14:paraId="66AC4AC0" w14:textId="77777777">
        <w:tc>
          <w:tcPr>
            <w:tcW w:w="3681" w:type="dxa"/>
            <w:shd w:val="clear" w:color="auto" w:fill="D3DDEB"/>
            <w:tcMar/>
          </w:tcPr>
          <w:p w:rsidRPr="00FF1EEF" w:rsidR="00712295" w:rsidP="00942C7D" w:rsidRDefault="00712295" w14:paraId="63B3B9B5" w14:textId="77777777">
            <w:pPr>
              <w:rPr>
                <w:b/>
              </w:rPr>
            </w:pPr>
            <w:r>
              <w:rPr>
                <w:b/>
              </w:rPr>
              <w:lastRenderedPageBreak/>
              <w:t>Descripción</w:t>
            </w:r>
          </w:p>
        </w:tc>
        <w:tc>
          <w:tcPr>
            <w:tcW w:w="5147" w:type="dxa"/>
            <w:tcMar/>
          </w:tcPr>
          <w:p w:rsidR="00712295" w:rsidP="003C3EE8" w:rsidRDefault="003C3EE8" w14:paraId="00E830FF" w14:textId="0F51D00E">
            <w:r>
              <w:rPr>
                <w:noProof/>
              </w:rPr>
              <w:t>Se observa, al comienzo del clip, que la educadora realiza una pregunta relacionada con lo que los niños y niñas entienden sobre el comunicar sus preferencias. Una niña responde y la educadora, por medio de preguntas, hace que profundice en su respuesta, produciendo un intercambio de interacción entre ambas. Esta acción se repite en dos oportunidades más:  cuando la educadora realiza preguntas sobre la importancia de las reglas en la sala de clases, ya que a través de preguntas logra que identifiquen que es importante hablar con susurros para no distraer a los/as compañeros/as y cuando pregunta por las preferencias de una niña al trabajar con ciertos materiales y cómo esto la hace sentir.</w:t>
            </w:r>
          </w:p>
        </w:tc>
      </w:tr>
    </w:tbl>
    <w:p w:rsidR="00712295" w:rsidP="007A3038" w:rsidRDefault="00712295" w14:paraId="7ABC96B7" w14:textId="77777777">
      <w:pPr>
        <w:spacing w:after="0"/>
      </w:pPr>
    </w:p>
    <w:tbl>
      <w:tblPr>
        <w:tblStyle w:val="Tablaconcuadrcula"/>
        <w:tblW w:w="0" w:type="auto"/>
        <w:tblLook w:val="04A0" w:firstRow="1" w:lastRow="0" w:firstColumn="1" w:lastColumn="0" w:noHBand="0" w:noVBand="1"/>
      </w:tblPr>
      <w:tblGrid>
        <w:gridCol w:w="3681"/>
        <w:gridCol w:w="5147"/>
      </w:tblGrid>
      <w:tr w:rsidR="00712295" w:rsidTr="00E17BDF" w14:paraId="7D7438E2" w14:textId="77777777">
        <w:tc>
          <w:tcPr>
            <w:tcW w:w="8828" w:type="dxa"/>
            <w:gridSpan w:val="2"/>
            <w:shd w:val="clear" w:color="auto" w:fill="006CB7"/>
          </w:tcPr>
          <w:p w:rsidR="00712295" w:rsidP="00EE5A14" w:rsidRDefault="00712295" w14:paraId="2FEEF686" w14:textId="77777777">
            <w:r w:rsidRPr="00E17BDF">
              <w:rPr>
                <w:b/>
                <w:color w:val="FFFFFF" w:themeColor="background1"/>
              </w:rPr>
              <w:t>ASOCIACIÓN MATERIAL Y MARCO PARA LA BUENA ENSEÑANZA</w:t>
            </w:r>
          </w:p>
        </w:tc>
      </w:tr>
      <w:tr w:rsidR="00712295" w:rsidTr="006F270B" w14:paraId="12BF8D27" w14:textId="77777777">
        <w:tc>
          <w:tcPr>
            <w:tcW w:w="3681" w:type="dxa"/>
            <w:shd w:val="clear" w:color="auto" w:fill="D3DDEB"/>
          </w:tcPr>
          <w:p w:rsidRPr="00FF1EEF" w:rsidR="00712295" w:rsidP="00EE5A14" w:rsidRDefault="0031724D" w14:paraId="6EB73DDE" w14:textId="3F592DF4">
            <w:pPr>
              <w:rPr>
                <w:b/>
              </w:rPr>
            </w:pPr>
            <w:r w:rsidRPr="0031724D">
              <w:rPr>
                <w:b/>
              </w:rPr>
              <w:t>Dominio MBE EP</w:t>
            </w:r>
          </w:p>
        </w:tc>
        <w:tc>
          <w:tcPr>
            <w:tcW w:w="5147" w:type="dxa"/>
          </w:tcPr>
          <w:p w:rsidR="00712295" w:rsidP="00942C7D" w:rsidRDefault="00712295" w14:paraId="06CD72F3" w14:textId="7AEEE95D">
            <w:r>
              <w:rPr>
                <w:noProof/>
              </w:rPr>
              <w:t>Dominio C: Enseñanza para el Aprendizaje de todos los niños y las niñas.</w:t>
            </w:r>
          </w:p>
        </w:tc>
      </w:tr>
      <w:tr w:rsidR="00712295" w:rsidTr="006F270B" w14:paraId="338338F8" w14:textId="77777777">
        <w:tc>
          <w:tcPr>
            <w:tcW w:w="3681" w:type="dxa"/>
            <w:shd w:val="clear" w:color="auto" w:fill="D3DDEB"/>
          </w:tcPr>
          <w:p w:rsidRPr="00FF1EEF" w:rsidR="00712295" w:rsidP="00EE5A14" w:rsidRDefault="0031724D" w14:paraId="5996BF79" w14:textId="6C3C6C9A">
            <w:pPr>
              <w:rPr>
                <w:b/>
              </w:rPr>
            </w:pPr>
            <w:r w:rsidRPr="0031724D">
              <w:rPr>
                <w:b/>
              </w:rPr>
              <w:t>Criterio MBE EP</w:t>
            </w:r>
          </w:p>
        </w:tc>
        <w:tc>
          <w:tcPr>
            <w:tcW w:w="5147" w:type="dxa"/>
          </w:tcPr>
          <w:p w:rsidR="00712295" w:rsidP="00942C7D" w:rsidRDefault="00712295" w14:paraId="073C688A" w14:textId="301CB234">
            <w:r>
              <w:rPr>
                <w:noProof/>
              </w:rPr>
              <w:t>Criterio C4: Toma decisiones oportunas considerando la evaluación de la enseñanza y el aprendizaje.</w:t>
            </w:r>
          </w:p>
        </w:tc>
      </w:tr>
      <w:tr w:rsidR="00712295" w:rsidTr="006F270B" w14:paraId="468D3071" w14:textId="77777777">
        <w:tc>
          <w:tcPr>
            <w:tcW w:w="3681" w:type="dxa"/>
            <w:shd w:val="clear" w:color="auto" w:fill="D3DDEB"/>
          </w:tcPr>
          <w:p w:rsidRPr="00FF1EEF" w:rsidR="00712295" w:rsidP="00EE5A14" w:rsidRDefault="0031724D" w14:paraId="4C2D5CD5" w14:textId="6D9E7EDD">
            <w:pPr>
              <w:rPr>
                <w:b/>
              </w:rPr>
            </w:pPr>
            <w:r w:rsidRPr="0031724D">
              <w:rPr>
                <w:b/>
              </w:rPr>
              <w:t>Descriptor MBE EP</w:t>
            </w:r>
          </w:p>
        </w:tc>
        <w:tc>
          <w:tcPr>
            <w:tcW w:w="5147" w:type="dxa"/>
          </w:tcPr>
          <w:p w:rsidR="00712295" w:rsidP="00FB58A2" w:rsidRDefault="00712295" w14:paraId="034F2FF3" w14:textId="35771B2C">
            <w:pPr>
              <w:rPr>
                <w:noProof/>
              </w:rPr>
            </w:pPr>
            <w:r>
              <w:rPr>
                <w:noProof/>
              </w:rPr>
              <w:t>Descriptor C.4.1: Evalúa los diferentes componentes de los contextos de aprendizaje de acuerdo con las orientaciones del currículum vigente.</w:t>
            </w:r>
          </w:p>
          <w:p w:rsidR="00712295" w:rsidP="00FB58A2" w:rsidRDefault="00712295" w14:paraId="0FEF2538" w14:textId="77777777">
            <w:pPr>
              <w:rPr>
                <w:noProof/>
              </w:rPr>
            </w:pPr>
            <w:r>
              <w:rPr>
                <w:noProof/>
              </w:rPr>
              <w:t>Descriptor C.4.2: Evalúa los aprendizajes de todos los niños y las niñas, llevando un registro de ello y asegurando un proceso sistemático, auténtico y diversificado, considerando las características de todos los niños y las niñas del grupo.</w:t>
            </w:r>
          </w:p>
          <w:p w:rsidR="00712295" w:rsidP="00FB58A2" w:rsidRDefault="00712295" w14:paraId="647381B4" w14:textId="77777777">
            <w:pPr>
              <w:rPr>
                <w:noProof/>
              </w:rPr>
            </w:pPr>
            <w:r>
              <w:rPr>
                <w:noProof/>
              </w:rPr>
              <w:t>Descriptor C.4.3: Modifica la práctica pedagógica en función de la evidencia documentada, considerando los antecedentes evaluativos de todos los niños y las niñas del grupo y de los contextos de aprendizaje.</w:t>
            </w:r>
          </w:p>
          <w:p w:rsidR="00712295" w:rsidP="00942C7D" w:rsidRDefault="00712295" w14:paraId="3E43B540" w14:textId="77777777">
            <w:r>
              <w:rPr>
                <w:noProof/>
              </w:rPr>
              <w:t>Descriptor C.4.4: Utiliza los resultados evaluativos de todos los niños y las niñas del grupo en las interacciones que establece con ellos para favorecer oportunamente sus aprendizajes y los comparte con las familias con una intención formativa.</w:t>
            </w:r>
          </w:p>
        </w:tc>
      </w:tr>
    </w:tbl>
    <w:p w:rsidR="00712295" w:rsidP="007A3038" w:rsidRDefault="00712295" w14:paraId="318830E0" w14:textId="77777777">
      <w:pPr>
        <w:spacing w:after="0"/>
      </w:pPr>
    </w:p>
    <w:p w:rsidR="00712295" w:rsidP="00BB64FB" w:rsidRDefault="00712295" w14:paraId="344515F0" w14:textId="77777777"/>
    <w:sectPr w:rsidR="00712295" w:rsidSect="00BB64FB">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5F27" w:rsidP="005C6EAC" w:rsidRDefault="00AC5F27" w14:paraId="2ECE6557" w14:textId="77777777">
      <w:pPr>
        <w:spacing w:after="0" w:line="240" w:lineRule="auto"/>
      </w:pPr>
      <w:r>
        <w:separator/>
      </w:r>
    </w:p>
  </w:endnote>
  <w:endnote w:type="continuationSeparator" w:id="0">
    <w:p w:rsidR="00AC5F27" w:rsidP="005C6EAC" w:rsidRDefault="00AC5F27" w14:paraId="4690AE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38BF5FC5"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3FD6FB77" wp14:editId="3579E86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20D5D85E" wp14:editId="46DA47EB">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5F27" w:rsidP="005C6EAC" w:rsidRDefault="00AC5F27" w14:paraId="3244C11B" w14:textId="77777777">
      <w:pPr>
        <w:spacing w:after="0" w:line="240" w:lineRule="auto"/>
      </w:pPr>
      <w:r>
        <w:separator/>
      </w:r>
    </w:p>
  </w:footnote>
  <w:footnote w:type="continuationSeparator" w:id="0">
    <w:p w:rsidR="00AC5F27" w:rsidP="005C6EAC" w:rsidRDefault="00AC5F27" w14:paraId="28E54C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2855F4A6" w14:textId="77777777">
    <w:pPr>
      <w:pStyle w:val="Encabezado"/>
    </w:pPr>
    <w:r>
      <w:rPr>
        <w:noProof/>
        <w:lang w:eastAsia="es-CL"/>
      </w:rPr>
      <w:drawing>
        <wp:inline distT="0" distB="0" distL="0" distR="0" wp14:anchorId="5F6061B2" wp14:editId="0F90C4B5">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162447"/>
    <w:rsid w:val="0018596C"/>
    <w:rsid w:val="00291A64"/>
    <w:rsid w:val="002F6F30"/>
    <w:rsid w:val="0031724D"/>
    <w:rsid w:val="00374A2C"/>
    <w:rsid w:val="003A3893"/>
    <w:rsid w:val="003C3EE8"/>
    <w:rsid w:val="00436424"/>
    <w:rsid w:val="00464283"/>
    <w:rsid w:val="004855B1"/>
    <w:rsid w:val="004C46BA"/>
    <w:rsid w:val="00563203"/>
    <w:rsid w:val="005C6EAC"/>
    <w:rsid w:val="005C7BFC"/>
    <w:rsid w:val="00622C06"/>
    <w:rsid w:val="00623EE1"/>
    <w:rsid w:val="006A3FDD"/>
    <w:rsid w:val="006D3C43"/>
    <w:rsid w:val="006F270B"/>
    <w:rsid w:val="00711CC8"/>
    <w:rsid w:val="00712295"/>
    <w:rsid w:val="007418FC"/>
    <w:rsid w:val="007562C1"/>
    <w:rsid w:val="00770144"/>
    <w:rsid w:val="007A2AE6"/>
    <w:rsid w:val="007A3038"/>
    <w:rsid w:val="007B3DB8"/>
    <w:rsid w:val="007C4DFF"/>
    <w:rsid w:val="00803CA9"/>
    <w:rsid w:val="00853D2F"/>
    <w:rsid w:val="00896C47"/>
    <w:rsid w:val="008A5855"/>
    <w:rsid w:val="00930F79"/>
    <w:rsid w:val="00942C7D"/>
    <w:rsid w:val="009959FC"/>
    <w:rsid w:val="00997129"/>
    <w:rsid w:val="00A431F2"/>
    <w:rsid w:val="00A43592"/>
    <w:rsid w:val="00A474B0"/>
    <w:rsid w:val="00AB2BC1"/>
    <w:rsid w:val="00AC5F27"/>
    <w:rsid w:val="00AF032B"/>
    <w:rsid w:val="00B25586"/>
    <w:rsid w:val="00B30422"/>
    <w:rsid w:val="00B41E3D"/>
    <w:rsid w:val="00BB64FB"/>
    <w:rsid w:val="00BF1B34"/>
    <w:rsid w:val="00C24F4E"/>
    <w:rsid w:val="00CD61F6"/>
    <w:rsid w:val="00CE0779"/>
    <w:rsid w:val="00D41CBB"/>
    <w:rsid w:val="00D861D6"/>
    <w:rsid w:val="00DC47BA"/>
    <w:rsid w:val="00DF254A"/>
    <w:rsid w:val="00E17BDF"/>
    <w:rsid w:val="00E2484E"/>
    <w:rsid w:val="00E633E5"/>
    <w:rsid w:val="00E83D0C"/>
    <w:rsid w:val="00E86E42"/>
    <w:rsid w:val="00E90D58"/>
    <w:rsid w:val="00EE5A14"/>
    <w:rsid w:val="00EF6A96"/>
    <w:rsid w:val="00F171C7"/>
    <w:rsid w:val="00F97379"/>
    <w:rsid w:val="00FB58A2"/>
    <w:rsid w:val="00FF1EEF"/>
    <w:rsid w:val="190AD66E"/>
    <w:rsid w:val="46089051"/>
    <w:rsid w:val="4E40FC71"/>
    <w:rsid w:val="69A833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FF250"/>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2F8797D6-6E58-435A-B40A-BFAECA0402DE}"/>
</file>

<file path=customXml/itemProps3.xml><?xml version="1.0" encoding="utf-8"?>
<ds:datastoreItem xmlns:ds="http://schemas.openxmlformats.org/officeDocument/2006/customXml" ds:itemID="{CEBF493C-93D9-4F3B-A987-215BE6379393}"/>
</file>

<file path=customXml/itemProps4.xml><?xml version="1.0" encoding="utf-8"?>
<ds:datastoreItem xmlns:ds="http://schemas.openxmlformats.org/officeDocument/2006/customXml" ds:itemID="{17ECBCB2-D30D-4619-828E-2AF321BDCE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9</cp:revision>
  <dcterms:created xsi:type="dcterms:W3CDTF">2024-06-12T14:16:00Z</dcterms:created>
  <dcterms:modified xsi:type="dcterms:W3CDTF">2025-05-28T13:03:31Z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