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2664" w:rsidP="007A3038" w:rsidRDefault="00492664" w14:paraId="442C310A" w14:textId="77777777">
      <w:pPr>
        <w:jc w:val="center"/>
      </w:pPr>
      <w:r w:rsidRPr="51DFA8C1" w:rsidR="00492664">
        <w:rPr>
          <w:b w:val="1"/>
          <w:bCs w:val="1"/>
        </w:rPr>
        <w:t>FICHA TÉCNICA CLIPS DE VIDEO</w:t>
      </w:r>
    </w:p>
    <w:tbl>
      <w:tblPr>
        <w:tblStyle w:val="Tablaconcuadrcula"/>
        <w:tblW w:w="0" w:type="auto"/>
        <w:tblLook w:val="04A0" w:firstRow="1" w:lastRow="0" w:firstColumn="1" w:lastColumn="0" w:noHBand="0" w:noVBand="1"/>
      </w:tblPr>
      <w:tblGrid>
        <w:gridCol w:w="3681"/>
        <w:gridCol w:w="5147"/>
      </w:tblGrid>
      <w:tr w:rsidR="00492664" w:rsidTr="2AC95D8C" w14:paraId="7EE36E7E" w14:textId="77777777">
        <w:trPr>
          <w:trHeight w:val="345"/>
        </w:trPr>
        <w:tc>
          <w:tcPr>
            <w:tcW w:w="8828" w:type="dxa"/>
            <w:gridSpan w:val="2"/>
            <w:shd w:val="clear" w:color="auto" w:fill="006CB7"/>
            <w:tcMar/>
          </w:tcPr>
          <w:p w:rsidR="00492664" w:rsidP="00942C7D" w:rsidRDefault="00492664" w14:paraId="337A88EB" w14:textId="3F52F659">
            <w:r w:rsidRPr="2AC95D8C" w:rsidR="00492664">
              <w:rPr>
                <w:b w:val="1"/>
                <w:bCs w:val="1"/>
                <w:color w:val="FFFFFF" w:themeColor="background1" w:themeTint="FF" w:themeShade="FF"/>
              </w:rPr>
              <w:t xml:space="preserve">ANTECEDENTES </w:t>
            </w:r>
            <w:r w:rsidRPr="2AC95D8C" w:rsidR="56195744">
              <w:rPr>
                <w:b w:val="1"/>
                <w:bCs w:val="1"/>
                <w:color w:val="FFFFFF" w:themeColor="background1" w:themeTint="FF" w:themeShade="FF"/>
              </w:rPr>
              <w:t>GENERALES</w:t>
            </w:r>
          </w:p>
        </w:tc>
      </w:tr>
      <w:tr w:rsidR="00492664" w:rsidTr="2AC95D8C" w14:paraId="76CF0965" w14:textId="77777777">
        <w:tc>
          <w:tcPr>
            <w:tcW w:w="3681" w:type="dxa"/>
            <w:shd w:val="clear" w:color="auto" w:fill="D3DDEB"/>
            <w:tcMar/>
          </w:tcPr>
          <w:p w:rsidRPr="00FF1EEF" w:rsidR="00492664" w:rsidP="006D3C43" w:rsidRDefault="00492664" w14:paraId="63CC1EE7" w14:textId="77777777">
            <w:pPr>
              <w:rPr>
                <w:b/>
              </w:rPr>
            </w:pPr>
            <w:r>
              <w:rPr>
                <w:b/>
              </w:rPr>
              <w:t>Comuna</w:t>
            </w:r>
          </w:p>
        </w:tc>
        <w:tc>
          <w:tcPr>
            <w:tcW w:w="5147" w:type="dxa"/>
            <w:tcMar/>
          </w:tcPr>
          <w:p w:rsidR="00492664" w:rsidP="00942C7D" w:rsidRDefault="00CB7C5D" w14:paraId="28CA5FEF" w14:textId="1F6435E3">
            <w:r>
              <w:rPr>
                <w:noProof/>
              </w:rPr>
              <w:t>Valparaíso</w:t>
            </w:r>
          </w:p>
        </w:tc>
      </w:tr>
      <w:tr w:rsidR="00492664" w:rsidTr="2AC95D8C" w14:paraId="62C20D99" w14:textId="77777777">
        <w:tc>
          <w:tcPr>
            <w:tcW w:w="3681" w:type="dxa"/>
            <w:shd w:val="clear" w:color="auto" w:fill="D3DDEB"/>
            <w:tcMar/>
          </w:tcPr>
          <w:p w:rsidRPr="00FF1EEF" w:rsidR="00492664" w:rsidP="00942C7D" w:rsidRDefault="00492664" w14:paraId="7FA86305" w14:textId="77777777">
            <w:pPr>
              <w:rPr>
                <w:b/>
              </w:rPr>
            </w:pPr>
            <w:r>
              <w:rPr>
                <w:b/>
              </w:rPr>
              <w:t>Región</w:t>
            </w:r>
          </w:p>
        </w:tc>
        <w:tc>
          <w:tcPr>
            <w:tcW w:w="5147" w:type="dxa"/>
            <w:tcMar/>
          </w:tcPr>
          <w:p w:rsidR="00492664" w:rsidP="00942C7D" w:rsidRDefault="00492664" w14:paraId="79EBB66B" w14:textId="62741855">
            <w:r>
              <w:rPr>
                <w:noProof/>
              </w:rPr>
              <w:t>Región de Valparaíso</w:t>
            </w:r>
          </w:p>
        </w:tc>
      </w:tr>
      <w:tr w:rsidR="00492664" w:rsidTr="2AC95D8C" w14:paraId="1813BBED" w14:textId="77777777">
        <w:tc>
          <w:tcPr>
            <w:tcW w:w="3681" w:type="dxa"/>
            <w:shd w:val="clear" w:color="auto" w:fill="D3DDEB"/>
            <w:tcMar/>
          </w:tcPr>
          <w:p w:rsidRPr="00FF1EEF" w:rsidR="00492664" w:rsidP="007562C1" w:rsidRDefault="00492664" w14:paraId="4990819F" w14:textId="77777777">
            <w:pPr>
              <w:rPr>
                <w:b/>
              </w:rPr>
            </w:pPr>
            <w:r>
              <w:rPr>
                <w:b/>
              </w:rPr>
              <w:t>Dependencia</w:t>
            </w:r>
          </w:p>
        </w:tc>
        <w:tc>
          <w:tcPr>
            <w:tcW w:w="5147" w:type="dxa"/>
            <w:tcMar/>
          </w:tcPr>
          <w:p w:rsidR="00492664" w:rsidP="00942C7D" w:rsidRDefault="00492664" w14:paraId="47C97ED6" w14:textId="1AD6710A">
            <w:r>
              <w:rPr>
                <w:noProof/>
              </w:rPr>
              <w:t>Particular Subvencionado</w:t>
            </w:r>
          </w:p>
        </w:tc>
      </w:tr>
    </w:tbl>
    <w:p w:rsidR="00492664" w:rsidP="007A3038" w:rsidRDefault="00492664" w14:paraId="481D20F4" w14:textId="77777777">
      <w:pPr>
        <w:spacing w:after="0"/>
      </w:pPr>
    </w:p>
    <w:tbl>
      <w:tblPr>
        <w:tblStyle w:val="Tablaconcuadrcula"/>
        <w:tblW w:w="0" w:type="auto"/>
        <w:tblLook w:val="04A0" w:firstRow="1" w:lastRow="0" w:firstColumn="1" w:lastColumn="0" w:noHBand="0" w:noVBand="1"/>
      </w:tblPr>
      <w:tblGrid>
        <w:gridCol w:w="3681"/>
        <w:gridCol w:w="5147"/>
      </w:tblGrid>
      <w:tr w:rsidR="00492664" w:rsidTr="51DFA8C1" w14:paraId="523E577E" w14:textId="77777777">
        <w:tc>
          <w:tcPr>
            <w:tcW w:w="8828" w:type="dxa"/>
            <w:gridSpan w:val="2"/>
            <w:shd w:val="clear" w:color="auto" w:fill="006CB7"/>
            <w:tcMar/>
          </w:tcPr>
          <w:p w:rsidR="00492664" w:rsidP="00942C7D" w:rsidRDefault="00492664" w14:paraId="208610C7" w14:textId="77777777">
            <w:r w:rsidRPr="007A3038">
              <w:rPr>
                <w:b/>
                <w:color w:val="FFFFFF" w:themeColor="background1"/>
              </w:rPr>
              <w:t>INFORMACIÓN DEL CLIP</w:t>
            </w:r>
          </w:p>
        </w:tc>
      </w:tr>
      <w:tr w:rsidR="00492664" w:rsidTr="51DFA8C1" w14:paraId="73CFBC09" w14:textId="77777777">
        <w:tc>
          <w:tcPr>
            <w:tcW w:w="3681" w:type="dxa"/>
            <w:shd w:val="clear" w:color="auto" w:fill="D3DDEB"/>
            <w:tcMar/>
          </w:tcPr>
          <w:p w:rsidRPr="00FF1EEF" w:rsidR="00492664" w:rsidP="00942C7D" w:rsidRDefault="00492664" w14:paraId="054DF105" w14:textId="77777777">
            <w:pPr>
              <w:rPr>
                <w:b/>
              </w:rPr>
            </w:pPr>
            <w:r>
              <w:rPr>
                <w:b/>
              </w:rPr>
              <w:t>Asignatura</w:t>
            </w:r>
          </w:p>
        </w:tc>
        <w:tc>
          <w:tcPr>
            <w:tcW w:w="5147" w:type="dxa"/>
            <w:tcMar/>
          </w:tcPr>
          <w:p w:rsidR="00492664" w:rsidP="00942C7D" w:rsidRDefault="00492664" w14:paraId="1A240B3C" w14:textId="2FBB3F49">
            <w:r>
              <w:rPr>
                <w:noProof/>
              </w:rPr>
              <w:t>Lengua Castellana y Comunicación</w:t>
            </w:r>
          </w:p>
        </w:tc>
      </w:tr>
      <w:tr w:rsidR="00492664" w:rsidTr="51DFA8C1" w14:paraId="190FAEA6" w14:textId="77777777">
        <w:tc>
          <w:tcPr>
            <w:tcW w:w="3681" w:type="dxa"/>
            <w:shd w:val="clear" w:color="auto" w:fill="D3DDEB"/>
            <w:tcMar/>
          </w:tcPr>
          <w:p w:rsidRPr="00FF1EEF" w:rsidR="00492664" w:rsidP="00942C7D" w:rsidRDefault="00492664" w14:paraId="7779E0AB" w14:textId="77777777">
            <w:pPr>
              <w:rPr>
                <w:b/>
              </w:rPr>
            </w:pPr>
            <w:r>
              <w:rPr>
                <w:b/>
              </w:rPr>
              <w:t>Tipo de material</w:t>
            </w:r>
          </w:p>
        </w:tc>
        <w:tc>
          <w:tcPr>
            <w:tcW w:w="5147" w:type="dxa"/>
            <w:tcMar/>
          </w:tcPr>
          <w:p w:rsidR="00492664" w:rsidP="00942C7D" w:rsidRDefault="00492664" w14:paraId="19ACE667" w14:textId="3D77A544">
            <w:r>
              <w:t>Clip de clase grabada</w:t>
            </w:r>
          </w:p>
        </w:tc>
      </w:tr>
      <w:tr w:rsidR="00492664" w:rsidTr="51DFA8C1" w14:paraId="3B7C31FE" w14:textId="77777777">
        <w:tc>
          <w:tcPr>
            <w:tcW w:w="3681" w:type="dxa"/>
            <w:shd w:val="clear" w:color="auto" w:fill="D3DDEB"/>
            <w:tcMar/>
          </w:tcPr>
          <w:p w:rsidRPr="00FF1EEF" w:rsidR="00492664" w:rsidP="00942C7D" w:rsidRDefault="00492664" w14:paraId="09ABD6BF" w14:textId="77777777">
            <w:pPr>
              <w:rPr>
                <w:b/>
              </w:rPr>
            </w:pPr>
            <w:r>
              <w:rPr>
                <w:b/>
              </w:rPr>
              <w:t>Práctica(s) pedagógica(s) asociada(s)</w:t>
            </w:r>
          </w:p>
        </w:tc>
        <w:tc>
          <w:tcPr>
            <w:tcW w:w="5147" w:type="dxa"/>
            <w:tcMar/>
          </w:tcPr>
          <w:p w:rsidR="00492664" w:rsidP="00942C7D" w:rsidRDefault="00492664" w14:paraId="205A18F5" w14:textId="77777777">
            <w:r>
              <w:rPr>
                <w:noProof/>
              </w:rPr>
              <w:t>Este indicador evalúa la capacidad de el/la docente para facilitar que sus estudiantes establezcan conexiones entre sus conocimientos previos y lo que aprenderán en la clase.</w:t>
            </w:r>
          </w:p>
        </w:tc>
      </w:tr>
      <w:tr w:rsidR="00492664" w:rsidTr="51DFA8C1" w14:paraId="549FD9F9" w14:textId="77777777">
        <w:tc>
          <w:tcPr>
            <w:tcW w:w="3681" w:type="dxa"/>
            <w:shd w:val="clear" w:color="auto" w:fill="D3DDEB"/>
            <w:tcMar/>
          </w:tcPr>
          <w:p w:rsidRPr="00FF1EEF" w:rsidR="00492664" w:rsidP="00942C7D" w:rsidRDefault="00492664" w14:paraId="26969F96" w14:textId="77777777">
            <w:pPr>
              <w:rPr>
                <w:b/>
              </w:rPr>
            </w:pPr>
            <w:r>
              <w:rPr>
                <w:b/>
              </w:rPr>
              <w:t>Palabras clave</w:t>
            </w:r>
          </w:p>
        </w:tc>
        <w:tc>
          <w:tcPr>
            <w:tcW w:w="5147" w:type="dxa"/>
            <w:tcMar/>
          </w:tcPr>
          <w:p w:rsidR="00492664" w:rsidP="00942C7D" w:rsidRDefault="00492664" w14:paraId="7B750DD0" w14:textId="7A550D72">
            <w:r>
              <w:rPr>
                <w:noProof/>
              </w:rPr>
              <w:t>Conocimientos previos, relación, promoción</w:t>
            </w:r>
            <w:r w:rsidR="009D7C5B">
              <w:rPr>
                <w:noProof/>
              </w:rPr>
              <w:t>.</w:t>
            </w:r>
          </w:p>
        </w:tc>
      </w:tr>
      <w:tr w:rsidR="00492664" w:rsidTr="51DFA8C1" w14:paraId="38EB201F" w14:textId="77777777">
        <w:tc>
          <w:tcPr>
            <w:tcW w:w="3681" w:type="dxa"/>
            <w:shd w:val="clear" w:color="auto" w:fill="D3DDEB"/>
            <w:tcMar/>
          </w:tcPr>
          <w:p w:rsidRPr="00FF1EEF" w:rsidR="00492664" w:rsidP="00942C7D" w:rsidRDefault="00492664" w14:paraId="137A1793" w14:textId="77777777">
            <w:pPr>
              <w:rPr>
                <w:b/>
              </w:rPr>
            </w:pPr>
            <w:r>
              <w:rPr>
                <w:b/>
              </w:rPr>
              <w:t>Módulo de Portafolio</w:t>
            </w:r>
          </w:p>
        </w:tc>
        <w:tc>
          <w:tcPr>
            <w:tcW w:w="5147" w:type="dxa"/>
            <w:tcMar/>
          </w:tcPr>
          <w:p w:rsidR="00492664" w:rsidP="00DF254A" w:rsidRDefault="00492664" w14:paraId="4DE72E61" w14:textId="320C0210">
            <w:r>
              <w:rPr>
                <w:noProof/>
              </w:rPr>
              <w:t>Módulo 2</w:t>
            </w:r>
          </w:p>
        </w:tc>
      </w:tr>
      <w:tr w:rsidR="00492664" w:rsidTr="51DFA8C1" w14:paraId="6FDDCC0C" w14:textId="77777777">
        <w:tc>
          <w:tcPr>
            <w:tcW w:w="3681" w:type="dxa"/>
            <w:shd w:val="clear" w:color="auto" w:fill="D3DDEB"/>
            <w:tcMar/>
          </w:tcPr>
          <w:p w:rsidRPr="00FF1EEF" w:rsidR="00492664" w:rsidP="00942C7D" w:rsidRDefault="00492664" w14:paraId="2F3C19C8" w14:textId="77777777">
            <w:pPr>
              <w:rPr>
                <w:b/>
              </w:rPr>
            </w:pPr>
            <w:r>
              <w:rPr>
                <w:b/>
              </w:rPr>
              <w:t>Tarea Portafolio asociada</w:t>
            </w:r>
          </w:p>
        </w:tc>
        <w:tc>
          <w:tcPr>
            <w:tcW w:w="5147" w:type="dxa"/>
            <w:tcMar/>
          </w:tcPr>
          <w:p w:rsidR="00492664" w:rsidP="00942C7D" w:rsidRDefault="00492664" w14:paraId="2FB5E34D" w14:textId="11B7E9EB">
            <w:r>
              <w:rPr>
                <w:noProof/>
              </w:rPr>
              <w:t>Tarea 4 Clase grabada</w:t>
            </w:r>
          </w:p>
        </w:tc>
      </w:tr>
      <w:tr w:rsidR="00492664" w:rsidTr="51DFA8C1" w14:paraId="682E2996" w14:textId="77777777">
        <w:tc>
          <w:tcPr>
            <w:tcW w:w="3681" w:type="dxa"/>
            <w:shd w:val="clear" w:color="auto" w:fill="D3DDEB"/>
            <w:tcMar/>
          </w:tcPr>
          <w:p w:rsidRPr="00FF1EEF" w:rsidR="00492664" w:rsidP="00942C7D" w:rsidRDefault="00492664" w14:paraId="2AE9E8B7" w14:textId="77777777">
            <w:pPr>
              <w:rPr>
                <w:b/>
              </w:rPr>
            </w:pPr>
            <w:r>
              <w:rPr>
                <w:b/>
              </w:rPr>
              <w:t>Indicador(es) asociado(s)</w:t>
            </w:r>
          </w:p>
        </w:tc>
        <w:tc>
          <w:tcPr>
            <w:tcW w:w="5147" w:type="dxa"/>
            <w:tcMar/>
          </w:tcPr>
          <w:p w:rsidR="00492664" w:rsidP="00942C7D" w:rsidRDefault="00492664" w14:paraId="6A916DCC" w14:textId="5795A87F">
            <w:r>
              <w:rPr>
                <w:noProof/>
              </w:rPr>
              <w:t>Activación y relación de conocimientos previos con los aprendizajes de la clase</w:t>
            </w:r>
          </w:p>
        </w:tc>
      </w:tr>
      <w:tr w:rsidR="00492664" w:rsidTr="51DFA8C1" w14:paraId="17FF5F80" w14:textId="77777777">
        <w:tc>
          <w:tcPr>
            <w:tcW w:w="3681" w:type="dxa"/>
            <w:shd w:val="clear" w:color="auto" w:fill="D3DDEB"/>
            <w:tcMar/>
          </w:tcPr>
          <w:p w:rsidRPr="00FF1EEF" w:rsidR="00492664" w:rsidP="00942C7D" w:rsidRDefault="00492664" w14:paraId="4DFE50B5" w14:textId="77777777">
            <w:pPr>
              <w:rPr>
                <w:b/>
              </w:rPr>
            </w:pPr>
            <w:r>
              <w:rPr>
                <w:b/>
              </w:rPr>
              <w:t>Fundamentación de la selección de la práctica/indicador</w:t>
            </w:r>
          </w:p>
        </w:tc>
        <w:tc>
          <w:tcPr>
            <w:tcW w:w="5147" w:type="dxa"/>
            <w:tcMar/>
          </w:tcPr>
          <w:p w:rsidR="00492664" w:rsidP="00080AD6" w:rsidRDefault="00080AD6" w14:paraId="306B1B34" w14:textId="3C0E40A4">
            <w:r>
              <w:rPr>
                <w:noProof/>
              </w:rPr>
              <w:t>El clip muestra el nivel de desempeño esperado, cumpliendo con los dos elementos de la rúbrica. El docente utiliza alguna estrategia para activar conocimientos previos de sus estudiantes. Dicha estrategia es la pregunta: ¿recuerdan qué es la tesis? ¿dónde está aquí? (en el texto). Le recuerda, a sus estudiantes, qué es la tesis y señala que una de sus características es ser polémica. También cumple con el segundo elemento, promoviendo que sus estudiantes establezcan relaciones entre sus conocimientos previos y lo que están aprendiendo en la clase, es decir, entre la tesis y el texto argumentativo. Esto lo realiza porque presenta un texto argumentativo y pide a los estudiantes identificar la tesis y explicar si es polémica, característica que señaló anteriormente que debe tener una tesis.</w:t>
            </w:r>
          </w:p>
        </w:tc>
      </w:tr>
      <w:tr w:rsidR="00492664" w:rsidTr="51DFA8C1" w14:paraId="0D38FF82" w14:textId="77777777">
        <w:tc>
          <w:tcPr>
            <w:tcW w:w="3681" w:type="dxa"/>
            <w:shd w:val="clear" w:color="auto" w:fill="D3DDEB"/>
            <w:tcMar/>
          </w:tcPr>
          <w:p w:rsidRPr="00FF1EEF" w:rsidR="00492664" w:rsidP="00942C7D" w:rsidRDefault="00492664" w14:paraId="3AFF8186" w14:textId="77777777">
            <w:pPr>
              <w:rPr>
                <w:b/>
              </w:rPr>
            </w:pPr>
            <w:r>
              <w:rPr>
                <w:b/>
              </w:rPr>
              <w:t>Descripción</w:t>
            </w:r>
          </w:p>
        </w:tc>
        <w:tc>
          <w:tcPr>
            <w:tcW w:w="5147" w:type="dxa"/>
            <w:tcMar/>
          </w:tcPr>
          <w:p w:rsidR="00492664" w:rsidP="00A730D2" w:rsidRDefault="00A730D2" w14:paraId="7718CB37" w14:textId="3C8DB739">
            <w:r>
              <w:rPr>
                <w:noProof/>
              </w:rPr>
              <w:t xml:space="preserve">El clip es de una clase de Lengua Castellana y Comunicación, donde se trabaja el contenido de texto </w:t>
            </w:r>
            <w:r>
              <w:rPr>
                <w:noProof/>
              </w:rPr>
              <w:lastRenderedPageBreak/>
              <w:t>argumentativo. El docente pregunta por un conocimiento previo, preguntando: ¿se acuerdan qué es la tesis? Luego, refiriéndose al texto de la pizarra pregunta: ¿dónde está la tesis aquí? Después, recuerda la definición de tesis y, para mejorar la comprensión, utiliza un ejemplo donde resalta que una de las características de la tesis es que genera polémica. Finalmente, proyecta otro texto y promueve que los estudiantes identifiquen la tesis y qué la hace ser polémica.</w:t>
            </w:r>
          </w:p>
        </w:tc>
      </w:tr>
    </w:tbl>
    <w:p w:rsidR="00492664" w:rsidP="007A3038" w:rsidRDefault="00492664" w14:paraId="5EAEE1E3" w14:textId="77777777">
      <w:pPr>
        <w:spacing w:after="0"/>
      </w:pPr>
    </w:p>
    <w:tbl>
      <w:tblPr>
        <w:tblStyle w:val="Tablaconcuadrcula"/>
        <w:tblW w:w="0" w:type="auto"/>
        <w:tblLook w:val="04A0" w:firstRow="1" w:lastRow="0" w:firstColumn="1" w:lastColumn="0" w:noHBand="0" w:noVBand="1"/>
      </w:tblPr>
      <w:tblGrid>
        <w:gridCol w:w="3681"/>
        <w:gridCol w:w="5147"/>
      </w:tblGrid>
      <w:tr w:rsidR="00492664" w:rsidTr="00E17BDF" w14:paraId="429E6F96" w14:textId="77777777">
        <w:tc>
          <w:tcPr>
            <w:tcW w:w="8828" w:type="dxa"/>
            <w:gridSpan w:val="2"/>
            <w:shd w:val="clear" w:color="auto" w:fill="006CB7"/>
          </w:tcPr>
          <w:p w:rsidR="00492664" w:rsidP="00EE5A14" w:rsidRDefault="00492664" w14:paraId="761C9C20" w14:textId="77777777">
            <w:r w:rsidRPr="00E17BDF">
              <w:rPr>
                <w:b/>
                <w:color w:val="FFFFFF" w:themeColor="background1"/>
              </w:rPr>
              <w:t>ASOCIACIÓN MATERIAL Y MARCO PARA LA BUENA ENSEÑANZA</w:t>
            </w:r>
          </w:p>
        </w:tc>
      </w:tr>
      <w:tr w:rsidR="00492664" w:rsidTr="006F270B" w14:paraId="281B2654" w14:textId="77777777">
        <w:tc>
          <w:tcPr>
            <w:tcW w:w="3681" w:type="dxa"/>
            <w:shd w:val="clear" w:color="auto" w:fill="D3DDEB"/>
          </w:tcPr>
          <w:p w:rsidRPr="00FF1EEF" w:rsidR="00492664" w:rsidP="00EE5A14" w:rsidRDefault="00492664" w14:paraId="532B9FFD" w14:textId="77777777">
            <w:pPr>
              <w:rPr>
                <w:b/>
              </w:rPr>
            </w:pPr>
            <w:r w:rsidRPr="00FF1EEF">
              <w:rPr>
                <w:b/>
              </w:rPr>
              <w:t>Dominio MBE 2021</w:t>
            </w:r>
          </w:p>
        </w:tc>
        <w:tc>
          <w:tcPr>
            <w:tcW w:w="5147" w:type="dxa"/>
          </w:tcPr>
          <w:p w:rsidR="00492664" w:rsidP="00942C7D" w:rsidRDefault="00492664" w14:paraId="4BA58639" w14:textId="77777777">
            <w:r>
              <w:rPr>
                <w:noProof/>
              </w:rPr>
              <w:t>Dominio C: Enseñanza para el aprendizaje de todos/as los/as estudiantes.</w:t>
            </w:r>
          </w:p>
        </w:tc>
      </w:tr>
      <w:tr w:rsidR="00492664" w:rsidTr="006F270B" w14:paraId="0548ADDE" w14:textId="77777777">
        <w:tc>
          <w:tcPr>
            <w:tcW w:w="3681" w:type="dxa"/>
            <w:shd w:val="clear" w:color="auto" w:fill="D3DDEB"/>
          </w:tcPr>
          <w:p w:rsidRPr="00FF1EEF" w:rsidR="00492664" w:rsidP="00EE5A14" w:rsidRDefault="00492664" w14:paraId="349A3464" w14:textId="77777777">
            <w:pPr>
              <w:rPr>
                <w:b/>
              </w:rPr>
            </w:pPr>
            <w:r w:rsidRPr="00FF1EEF">
              <w:rPr>
                <w:b/>
              </w:rPr>
              <w:t>Estándar(es) MBE 2021</w:t>
            </w:r>
          </w:p>
        </w:tc>
        <w:tc>
          <w:tcPr>
            <w:tcW w:w="5147" w:type="dxa"/>
          </w:tcPr>
          <w:p w:rsidR="00492664" w:rsidP="00942C7D" w:rsidRDefault="00492664" w14:paraId="1AD8ABEF" w14:textId="77777777">
            <w:r>
              <w:rPr>
                <w:noProof/>
              </w:rPr>
              <w:t>Estándar 7: Estrategias de enseñanza para el logro de aprendizajes profundos.</w:t>
            </w:r>
          </w:p>
        </w:tc>
      </w:tr>
      <w:tr w:rsidR="00492664" w:rsidTr="006F270B" w14:paraId="35ABC0B2" w14:textId="77777777">
        <w:tc>
          <w:tcPr>
            <w:tcW w:w="3681" w:type="dxa"/>
            <w:shd w:val="clear" w:color="auto" w:fill="D3DDEB"/>
          </w:tcPr>
          <w:p w:rsidRPr="00FF1EEF" w:rsidR="00492664" w:rsidP="00EE5A14" w:rsidRDefault="00492664" w14:paraId="5042E069" w14:textId="77777777">
            <w:pPr>
              <w:rPr>
                <w:b/>
              </w:rPr>
            </w:pPr>
            <w:r w:rsidRPr="00FF1EEF">
              <w:rPr>
                <w:b/>
              </w:rPr>
              <w:t>Descriptores del MBE 2021</w:t>
            </w:r>
          </w:p>
        </w:tc>
        <w:tc>
          <w:tcPr>
            <w:tcW w:w="5147" w:type="dxa"/>
          </w:tcPr>
          <w:p w:rsidR="00492664" w:rsidP="00942C7D" w:rsidRDefault="00492664" w14:paraId="30A7EFEA" w14:textId="77777777">
            <w:r>
              <w:rPr>
                <w:noProof/>
              </w:rPr>
              <w:t>Descriptor 7.7 Explora, mediante diversos recursos pedagógicos atingentes a la disciplina que enseña, experiencias, conocimientos previos, disposiciones e intereses de los/as estudiantes, para detectar concepciones erróneas y realizar conexiones significativas con el nuevo conocimiento.</w:t>
            </w:r>
          </w:p>
        </w:tc>
      </w:tr>
    </w:tbl>
    <w:p w:rsidR="00492664" w:rsidP="007A3038" w:rsidRDefault="00492664" w14:paraId="190C3A98" w14:textId="77777777">
      <w:pPr>
        <w:spacing w:after="0"/>
      </w:pPr>
    </w:p>
    <w:p w:rsidR="00492664" w:rsidP="00B26FEF" w:rsidRDefault="00492664" w14:paraId="41EE7450" w14:textId="77777777"/>
    <w:sectPr w:rsidR="00492664" w:rsidSect="00B26FEF">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356E6" w:rsidP="005C6EAC" w:rsidRDefault="00D356E6" w14:paraId="28AFAFAF" w14:textId="77777777">
      <w:pPr>
        <w:spacing w:after="0" w:line="240" w:lineRule="auto"/>
      </w:pPr>
      <w:r>
        <w:separator/>
      </w:r>
    </w:p>
  </w:endnote>
  <w:endnote w:type="continuationSeparator" w:id="0">
    <w:p w:rsidR="00D356E6" w:rsidP="005C6EAC" w:rsidRDefault="00D356E6" w14:paraId="79D9FD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05C6EAC" w:rsidRDefault="009959FC" w14:paraId="549648CC" w14:textId="77777777">
    <w:pPr>
      <w:pStyle w:val="Piedepgina"/>
      <w:tabs>
        <w:tab w:val="clear" w:pos="4419"/>
        <w:tab w:val="clear" w:pos="8838"/>
        <w:tab w:val="left" w:pos="3270"/>
      </w:tabs>
    </w:pPr>
    <w:r>
      <w:rPr>
        <w:noProof/>
        <w:lang w:eastAsia="es-CL"/>
      </w:rPr>
      <w:drawing>
        <wp:anchor distT="0" distB="0" distL="114300" distR="114300" simplePos="0" relativeHeight="251659264" behindDoc="0" locked="0" layoutInCell="1" allowOverlap="1" wp14:anchorId="4E8B2E70" wp14:editId="4C814CFD">
          <wp:simplePos x="0" y="0"/>
          <wp:positionH relativeFrom="margin">
            <wp:align>right</wp:align>
          </wp:positionH>
          <wp:positionV relativeFrom="paragraph">
            <wp:posOffset>-95250</wp:posOffset>
          </wp:positionV>
          <wp:extent cx="1384436" cy="520972"/>
          <wp:effectExtent l="0" t="0" r="6350" b="0"/>
          <wp:wrapNone/>
          <wp:docPr id="4" name="Imagen 4"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4436" cy="520972"/>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177358A2" wp14:editId="3F1C06B5">
          <wp:extent cx="1243437" cy="67318"/>
          <wp:effectExtent l="0" t="0" r="1163"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3437" cy="67318"/>
                  </a:xfrm>
                  <a:prstGeom prst="rect">
                    <a:avLst/>
                  </a:prstGeom>
                  <a:noFill/>
                  <a:ln>
                    <a:noFill/>
                    <a:prstDash/>
                  </a:ln>
                </pic:spPr>
              </pic:pic>
            </a:graphicData>
          </a:graphic>
        </wp:inline>
      </w:drawing>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356E6" w:rsidP="005C6EAC" w:rsidRDefault="00D356E6" w14:paraId="6B121A79" w14:textId="77777777">
      <w:pPr>
        <w:spacing w:after="0" w:line="240" w:lineRule="auto"/>
      </w:pPr>
      <w:r>
        <w:separator/>
      </w:r>
    </w:p>
  </w:footnote>
  <w:footnote w:type="continuationSeparator" w:id="0">
    <w:p w:rsidR="00D356E6" w:rsidP="005C6EAC" w:rsidRDefault="00D356E6" w14:paraId="685B20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RDefault="009959FC" w14:paraId="39FF5144" w14:textId="77777777">
    <w:pPr>
      <w:pStyle w:val="Encabezado"/>
    </w:pPr>
    <w:r>
      <w:rPr>
        <w:noProof/>
        <w:lang w:eastAsia="es-CL"/>
      </w:rPr>
      <w:drawing>
        <wp:inline distT="0" distB="0" distL="0" distR="0" wp14:anchorId="5C46AA86" wp14:editId="1E08B16C">
          <wp:extent cx="755021" cy="685800"/>
          <wp:effectExtent l="0" t="0" r="6985" b="0"/>
          <wp:docPr id="2066996711" name="Imagen 206699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58" cy="698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B10"/>
    <w:rsid w:val="00080AD6"/>
    <w:rsid w:val="000E45F4"/>
    <w:rsid w:val="00162447"/>
    <w:rsid w:val="0018596C"/>
    <w:rsid w:val="00291A64"/>
    <w:rsid w:val="002F6F30"/>
    <w:rsid w:val="00366B21"/>
    <w:rsid w:val="00374A2C"/>
    <w:rsid w:val="003A3893"/>
    <w:rsid w:val="003D0156"/>
    <w:rsid w:val="00414473"/>
    <w:rsid w:val="00432A4F"/>
    <w:rsid w:val="00435CAD"/>
    <w:rsid w:val="00436424"/>
    <w:rsid w:val="00464283"/>
    <w:rsid w:val="004855B1"/>
    <w:rsid w:val="00492664"/>
    <w:rsid w:val="004B7CDF"/>
    <w:rsid w:val="004C2C20"/>
    <w:rsid w:val="00563203"/>
    <w:rsid w:val="0057732B"/>
    <w:rsid w:val="005C6EAC"/>
    <w:rsid w:val="0061259B"/>
    <w:rsid w:val="00623EE1"/>
    <w:rsid w:val="006A0BD3"/>
    <w:rsid w:val="006A3FDD"/>
    <w:rsid w:val="006D3C43"/>
    <w:rsid w:val="006F270B"/>
    <w:rsid w:val="007562C1"/>
    <w:rsid w:val="00770144"/>
    <w:rsid w:val="007A2AE6"/>
    <w:rsid w:val="007A3038"/>
    <w:rsid w:val="00803CA9"/>
    <w:rsid w:val="008126C9"/>
    <w:rsid w:val="00896C47"/>
    <w:rsid w:val="008A5855"/>
    <w:rsid w:val="00942C7D"/>
    <w:rsid w:val="009959FC"/>
    <w:rsid w:val="00997129"/>
    <w:rsid w:val="009D7C5B"/>
    <w:rsid w:val="00A474B0"/>
    <w:rsid w:val="00A70B45"/>
    <w:rsid w:val="00A730D2"/>
    <w:rsid w:val="00AB2BC1"/>
    <w:rsid w:val="00AF032B"/>
    <w:rsid w:val="00B26FEF"/>
    <w:rsid w:val="00BA27FA"/>
    <w:rsid w:val="00BD5ED4"/>
    <w:rsid w:val="00BF1B34"/>
    <w:rsid w:val="00CB7C5D"/>
    <w:rsid w:val="00CE0779"/>
    <w:rsid w:val="00D356E6"/>
    <w:rsid w:val="00D41CBB"/>
    <w:rsid w:val="00D861D6"/>
    <w:rsid w:val="00DF254A"/>
    <w:rsid w:val="00E17BDF"/>
    <w:rsid w:val="00E2484E"/>
    <w:rsid w:val="00E83D0C"/>
    <w:rsid w:val="00E86E42"/>
    <w:rsid w:val="00EE5A14"/>
    <w:rsid w:val="00EF0230"/>
    <w:rsid w:val="00F071EB"/>
    <w:rsid w:val="00F171C7"/>
    <w:rsid w:val="00FF1EEF"/>
    <w:rsid w:val="12012943"/>
    <w:rsid w:val="2AC95D8C"/>
    <w:rsid w:val="51DFA8C1"/>
    <w:rsid w:val="56195744"/>
    <w:rsid w:val="7342F61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A5717"/>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5893DF9F-6534-49E4-B39C-8FA3F463E1FD}"/>
</file>

<file path=customXml/itemProps3.xml><?xml version="1.0" encoding="utf-8"?>
<ds:datastoreItem xmlns:ds="http://schemas.openxmlformats.org/officeDocument/2006/customXml" ds:itemID="{EA09B069-A732-462D-B040-0532CB8C011B}"/>
</file>

<file path=customXml/itemProps4.xml><?xml version="1.0" encoding="utf-8"?>
<ds:datastoreItem xmlns:ds="http://schemas.openxmlformats.org/officeDocument/2006/customXml" ds:itemID="{24F47E2B-B4D5-4626-9239-CCD881D62B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11</cp:revision>
  <dcterms:created xsi:type="dcterms:W3CDTF">2024-05-31T19:15:00Z</dcterms:created>
  <dcterms:modified xsi:type="dcterms:W3CDTF">2025-05-28T12:59:18Z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0x010100E3EE16BC5438FF4790073075E21D3D86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